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0580810"/>
        <w:docPartObj>
          <w:docPartGallery w:val="Cover Pages"/>
          <w:docPartUnique/>
        </w:docPartObj>
      </w:sdtPr>
      <w:sdtEndPr>
        <w:rPr>
          <w:rFonts w:ascii="Arial" w:hAnsi="Arial" w:cs="Arial"/>
          <w:b/>
          <w:color w:val="A02B93" w:themeColor="accent5"/>
        </w:rPr>
      </w:sdtEndPr>
      <w:sdtContent>
        <w:p w14:paraId="1831F46B" w14:textId="21744CAC" w:rsidR="00156300" w:rsidRDefault="00156300"/>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3728A9" w:rsidRPr="003728A9" w14:paraId="26FF8ECA" w14:textId="77777777">
            <w:sdt>
              <w:sdtPr>
                <w:rPr>
                  <w:rFonts w:ascii="Arial" w:hAnsi="Arial" w:cs="Arial"/>
                  <w:color w:val="A02B93" w:themeColor="accent5"/>
                  <w:sz w:val="28"/>
                  <w:szCs w:val="28"/>
                </w:rPr>
                <w:alias w:val="Company"/>
                <w:id w:val="13406915"/>
                <w:placeholder>
                  <w:docPart w:val="F9BDC17E676B477A8715A7446C5DD146"/>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F7A6EF5" w14:textId="0FF8237B" w:rsidR="00156300" w:rsidRPr="00C34847" w:rsidRDefault="00A9593B">
                    <w:pPr>
                      <w:pStyle w:val="NoSpacing"/>
                      <w:rPr>
                        <w:rFonts w:ascii="Arial" w:hAnsi="Arial" w:cs="Arial"/>
                        <w:color w:val="A02B93" w:themeColor="accent5"/>
                        <w:sz w:val="24"/>
                      </w:rPr>
                    </w:pPr>
                    <w:r>
                      <w:rPr>
                        <w:rFonts w:ascii="Arial" w:hAnsi="Arial" w:cs="Arial"/>
                        <w:color w:val="A02B93" w:themeColor="accent5"/>
                        <w:sz w:val="28"/>
                        <w:szCs w:val="28"/>
                      </w:rPr>
                      <w:t>Wexford County Council</w:t>
                    </w:r>
                  </w:p>
                </w:tc>
              </w:sdtContent>
            </w:sdt>
          </w:tr>
          <w:tr w:rsidR="003728A9" w:rsidRPr="003728A9" w14:paraId="1752BCE1" w14:textId="77777777">
            <w:tc>
              <w:tcPr>
                <w:tcW w:w="7672" w:type="dxa"/>
              </w:tcPr>
              <w:sdt>
                <w:sdtPr>
                  <w:rPr>
                    <w:rFonts w:ascii="Arial" w:eastAsiaTheme="majorEastAsia" w:hAnsi="Arial" w:cs="Arial"/>
                    <w:color w:val="A02B93" w:themeColor="accent5"/>
                    <w:sz w:val="88"/>
                    <w:szCs w:val="88"/>
                  </w:rPr>
                  <w:alias w:val="Title"/>
                  <w:id w:val="13406919"/>
                  <w:placeholder>
                    <w:docPart w:val="FE68852F932340349696FD8556C123A9"/>
                  </w:placeholder>
                  <w:dataBinding w:prefixMappings="xmlns:ns0='http://schemas.openxmlformats.org/package/2006/metadata/core-properties' xmlns:ns1='http://purl.org/dc/elements/1.1/'" w:xpath="/ns0:coreProperties[1]/ns1:title[1]" w:storeItemID="{6C3C8BC8-F283-45AE-878A-BAB7291924A1}"/>
                  <w:text/>
                </w:sdtPr>
                <w:sdtEndPr/>
                <w:sdtContent>
                  <w:p w14:paraId="3515906F" w14:textId="15766F5F" w:rsidR="00156300" w:rsidRPr="00C34847" w:rsidRDefault="00A9593B">
                    <w:pPr>
                      <w:pStyle w:val="NoSpacing"/>
                      <w:spacing w:line="216" w:lineRule="auto"/>
                      <w:rPr>
                        <w:rFonts w:ascii="Arial" w:eastAsiaTheme="majorEastAsia" w:hAnsi="Arial" w:cs="Arial"/>
                        <w:color w:val="A02B93" w:themeColor="accent5"/>
                        <w:sz w:val="88"/>
                        <w:szCs w:val="88"/>
                      </w:rPr>
                    </w:pPr>
                    <w:r>
                      <w:rPr>
                        <w:rFonts w:ascii="Arial" w:eastAsiaTheme="majorEastAsia" w:hAnsi="Arial" w:cs="Arial"/>
                        <w:color w:val="A02B93" w:themeColor="accent5"/>
                        <w:sz w:val="88"/>
                        <w:szCs w:val="88"/>
                      </w:rPr>
                      <w:t>Development Contributions Scheme 2026-2029</w:t>
                    </w:r>
                  </w:p>
                </w:sdtContent>
              </w:sdt>
            </w:tc>
          </w:tr>
          <w:tr w:rsidR="003728A9" w:rsidRPr="003728A9" w14:paraId="0BCB7A29" w14:textId="77777777">
            <w:sdt>
              <w:sdtPr>
                <w:rPr>
                  <w:rFonts w:ascii="Arial" w:hAnsi="Arial" w:cs="Arial"/>
                  <w:color w:val="A02B93" w:themeColor="accent5"/>
                  <w:sz w:val="28"/>
                  <w:szCs w:val="28"/>
                </w:rPr>
                <w:alias w:val="Subtitle"/>
                <w:id w:val="13406923"/>
                <w:placeholder>
                  <w:docPart w:val="A70F365A485D4173A6E5068383554648"/>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C24D350" w14:textId="5DD438CD" w:rsidR="00156300" w:rsidRPr="00C34847" w:rsidRDefault="00A9593B">
                    <w:pPr>
                      <w:pStyle w:val="NoSpacing"/>
                      <w:rPr>
                        <w:rFonts w:ascii="Arial" w:hAnsi="Arial" w:cs="Arial"/>
                        <w:color w:val="A02B93" w:themeColor="accent5"/>
                        <w:sz w:val="24"/>
                      </w:rPr>
                    </w:pPr>
                    <w:r>
                      <w:rPr>
                        <w:rFonts w:ascii="Arial" w:hAnsi="Arial" w:cs="Arial"/>
                        <w:color w:val="A02B93" w:themeColor="accent5"/>
                        <w:sz w:val="28"/>
                        <w:szCs w:val="28"/>
                      </w:rPr>
                      <w:t>Scheme overview</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156300" w14:paraId="2E13F8D7" w14:textId="77777777">
            <w:tc>
              <w:tcPr>
                <w:tcW w:w="7221" w:type="dxa"/>
                <w:tcMar>
                  <w:top w:w="216" w:type="dxa"/>
                  <w:left w:w="115" w:type="dxa"/>
                  <w:bottom w:w="216" w:type="dxa"/>
                  <w:right w:w="115" w:type="dxa"/>
                </w:tcMar>
              </w:tcPr>
              <w:sdt>
                <w:sdtPr>
                  <w:rPr>
                    <w:rFonts w:ascii="Arial" w:hAnsi="Arial" w:cs="Arial"/>
                    <w:color w:val="A02B93" w:themeColor="accent5"/>
                    <w:sz w:val="28"/>
                    <w:szCs w:val="28"/>
                  </w:rPr>
                  <w:alias w:val="Author"/>
                  <w:id w:val="13406928"/>
                  <w:placeholder>
                    <w:docPart w:val="0BD1E1F1C9944371AE4548A4052F1A6C"/>
                  </w:placeholder>
                  <w:dataBinding w:prefixMappings="xmlns:ns0='http://schemas.openxmlformats.org/package/2006/metadata/core-properties' xmlns:ns1='http://purl.org/dc/elements/1.1/'" w:xpath="/ns0:coreProperties[1]/ns1:creator[1]" w:storeItemID="{6C3C8BC8-F283-45AE-878A-BAB7291924A1}"/>
                  <w:text/>
                </w:sdtPr>
                <w:sdtEndPr/>
                <w:sdtContent>
                  <w:p w14:paraId="181A1F0F" w14:textId="0403F6C5" w:rsidR="00156300" w:rsidRPr="00C34847" w:rsidRDefault="00A9593B">
                    <w:pPr>
                      <w:pStyle w:val="NoSpacing"/>
                      <w:rPr>
                        <w:rFonts w:ascii="Arial" w:hAnsi="Arial" w:cs="Arial"/>
                        <w:color w:val="156082" w:themeColor="accent1"/>
                        <w:sz w:val="28"/>
                        <w:szCs w:val="28"/>
                      </w:rPr>
                    </w:pPr>
                    <w:r>
                      <w:rPr>
                        <w:rFonts w:ascii="Arial" w:hAnsi="Arial" w:cs="Arial"/>
                        <w:color w:val="A02B93" w:themeColor="accent5"/>
                        <w:sz w:val="28"/>
                        <w:szCs w:val="28"/>
                      </w:rPr>
                      <w:t>Adopted by Wexford County Council, 8th of December 2025. Effective from 1st of January 2026.</w:t>
                    </w:r>
                  </w:p>
                </w:sdtContent>
              </w:sdt>
              <w:p w14:paraId="3D2643B6" w14:textId="7B1A5C88" w:rsidR="00156300" w:rsidRDefault="00156300">
                <w:pPr>
                  <w:pStyle w:val="NoSpacing"/>
                  <w:rPr>
                    <w:color w:val="156082" w:themeColor="accent1"/>
                    <w:sz w:val="28"/>
                    <w:szCs w:val="28"/>
                  </w:rPr>
                </w:pPr>
              </w:p>
              <w:p w14:paraId="00007EFA" w14:textId="77777777" w:rsidR="00156300" w:rsidRDefault="00156300">
                <w:pPr>
                  <w:pStyle w:val="NoSpacing"/>
                  <w:rPr>
                    <w:color w:val="156082" w:themeColor="accent1"/>
                  </w:rPr>
                </w:pPr>
              </w:p>
            </w:tc>
          </w:tr>
        </w:tbl>
        <w:p w14:paraId="12747179" w14:textId="589A0661" w:rsidR="00156300" w:rsidRDefault="00C34847" w:rsidP="00C34847">
          <w:pPr>
            <w:tabs>
              <w:tab w:val="left" w:pos="765"/>
            </w:tabs>
            <w:rPr>
              <w:rFonts w:ascii="Arial" w:hAnsi="Arial" w:cs="Arial"/>
              <w:b/>
              <w:color w:val="A02B93" w:themeColor="accent5"/>
            </w:rPr>
          </w:pPr>
          <w:r>
            <w:rPr>
              <w:rFonts w:ascii="Arial" w:hAnsi="Arial" w:cs="Arial"/>
              <w:b/>
              <w:color w:val="A02B93" w:themeColor="accent5"/>
            </w:rPr>
            <w:lastRenderedPageBreak/>
            <w:tab/>
          </w:r>
        </w:p>
      </w:sdtContent>
    </w:sdt>
    <w:p w14:paraId="74ECD5B5" w14:textId="1BB88FE1" w:rsidR="0077658C" w:rsidRPr="00BD0F47" w:rsidRDefault="00AF5D83" w:rsidP="00C4454A">
      <w:pPr>
        <w:spacing w:after="0" w:line="360" w:lineRule="auto"/>
        <w:rPr>
          <w:rFonts w:ascii="Arial" w:hAnsi="Arial" w:cs="Arial"/>
          <w:b/>
          <w:color w:val="A02B93" w:themeColor="accent5"/>
        </w:rPr>
      </w:pPr>
      <w:r>
        <w:rPr>
          <w:rFonts w:ascii="Arial" w:hAnsi="Arial" w:cs="Arial"/>
          <w:b/>
          <w:color w:val="A02B93" w:themeColor="accent5"/>
        </w:rPr>
        <w:t>Summary</w:t>
      </w:r>
    </w:p>
    <w:p w14:paraId="56C3590E" w14:textId="05F83560" w:rsidR="00262179" w:rsidRPr="009E335D" w:rsidRDefault="00262179" w:rsidP="00C4454A">
      <w:pPr>
        <w:spacing w:line="360" w:lineRule="auto"/>
        <w:jc w:val="both"/>
        <w:rPr>
          <w:rFonts w:ascii="Arial" w:eastAsia="Arial" w:hAnsi="Arial" w:cs="Arial"/>
        </w:rPr>
      </w:pPr>
      <w:r w:rsidRPr="009E335D">
        <w:rPr>
          <w:rFonts w:ascii="Arial" w:eastAsia="Arial" w:hAnsi="Arial" w:cs="Arial"/>
        </w:rPr>
        <w:t>Wexford County Council</w:t>
      </w:r>
      <w:r>
        <w:rPr>
          <w:rFonts w:ascii="Arial" w:eastAsia="Arial" w:hAnsi="Arial" w:cs="Arial"/>
        </w:rPr>
        <w:t xml:space="preserve"> </w:t>
      </w:r>
      <w:r w:rsidRPr="009E335D">
        <w:rPr>
          <w:rFonts w:ascii="Arial" w:eastAsia="Arial" w:hAnsi="Arial" w:cs="Arial"/>
        </w:rPr>
        <w:t>is required to fund a variety of public infrastructure projects</w:t>
      </w:r>
      <w:r>
        <w:rPr>
          <w:rFonts w:ascii="Arial" w:eastAsia="Arial" w:hAnsi="Arial" w:cs="Arial"/>
        </w:rPr>
        <w:t xml:space="preserve"> to improve the quality of life of the citizens of County Wexford</w:t>
      </w:r>
      <w:r w:rsidRPr="009E335D">
        <w:rPr>
          <w:rFonts w:ascii="Arial" w:eastAsia="Arial" w:hAnsi="Arial" w:cs="Arial"/>
        </w:rPr>
        <w:t>. The Development Contribution Scheme enable</w:t>
      </w:r>
      <w:r>
        <w:rPr>
          <w:rFonts w:ascii="Arial" w:eastAsia="Arial" w:hAnsi="Arial" w:cs="Arial"/>
        </w:rPr>
        <w:t>s</w:t>
      </w:r>
      <w:r w:rsidRPr="009E335D">
        <w:rPr>
          <w:rFonts w:ascii="Arial" w:eastAsia="Arial" w:hAnsi="Arial" w:cs="Arial"/>
        </w:rPr>
        <w:t xml:space="preserve"> Wexford County Council to fund projects including </w:t>
      </w:r>
      <w:r>
        <w:rPr>
          <w:rFonts w:ascii="Arial" w:eastAsia="Arial" w:hAnsi="Arial" w:cs="Arial"/>
        </w:rPr>
        <w:t xml:space="preserve">transport, social, community and climate action </w:t>
      </w:r>
      <w:r w:rsidRPr="009E335D">
        <w:rPr>
          <w:rFonts w:ascii="Arial" w:eastAsia="Arial" w:hAnsi="Arial" w:cs="Arial"/>
        </w:rPr>
        <w:t>projects</w:t>
      </w:r>
      <w:r>
        <w:rPr>
          <w:rFonts w:ascii="Arial" w:eastAsia="Arial" w:hAnsi="Arial" w:cs="Arial"/>
        </w:rPr>
        <w:t xml:space="preserve"> for County Wexford</w:t>
      </w:r>
      <w:r w:rsidRPr="009E335D">
        <w:rPr>
          <w:rFonts w:ascii="Arial" w:eastAsia="Arial" w:hAnsi="Arial" w:cs="Arial"/>
        </w:rPr>
        <w:t xml:space="preserve">.  The Development Contribution Scheme </w:t>
      </w:r>
      <w:r>
        <w:rPr>
          <w:rFonts w:ascii="Arial" w:eastAsia="Arial" w:hAnsi="Arial" w:cs="Arial"/>
        </w:rPr>
        <w:t xml:space="preserve">delivers initiatives for County Wexford including facilities </w:t>
      </w:r>
      <w:r w:rsidRPr="009E335D">
        <w:rPr>
          <w:rFonts w:ascii="Arial" w:eastAsia="Arial" w:hAnsi="Arial" w:cs="Arial"/>
        </w:rPr>
        <w:t>such as libraries, open spaces and playgrounds</w:t>
      </w:r>
      <w:r>
        <w:rPr>
          <w:rFonts w:ascii="Arial" w:eastAsia="Arial" w:hAnsi="Arial" w:cs="Arial"/>
        </w:rPr>
        <w:t xml:space="preserve"> and the elected members have an ambitious capital programme to deliver quality services to benefit the County and it</w:t>
      </w:r>
      <w:r w:rsidR="00916450">
        <w:rPr>
          <w:rFonts w:ascii="Arial" w:eastAsia="Arial" w:hAnsi="Arial" w:cs="Arial"/>
        </w:rPr>
        <w:t>s</w:t>
      </w:r>
      <w:r>
        <w:rPr>
          <w:rFonts w:ascii="Arial" w:eastAsia="Arial" w:hAnsi="Arial" w:cs="Arial"/>
        </w:rPr>
        <w:t xml:space="preserve"> communities</w:t>
      </w:r>
      <w:r w:rsidRPr="009E335D">
        <w:rPr>
          <w:rFonts w:ascii="Arial" w:eastAsia="Arial" w:hAnsi="Arial" w:cs="Arial"/>
        </w:rPr>
        <w:t>.</w:t>
      </w:r>
    </w:p>
    <w:p w14:paraId="7B35FC3C" w14:textId="77777777" w:rsidR="00916450" w:rsidRPr="00A60FB4" w:rsidRDefault="00916450" w:rsidP="00C4454A">
      <w:pPr>
        <w:spacing w:after="0" w:line="360" w:lineRule="auto"/>
        <w:rPr>
          <w:rFonts w:ascii="Arial" w:hAnsi="Arial" w:cs="Arial"/>
          <w:bCs/>
          <w:color w:val="000000" w:themeColor="text1"/>
        </w:rPr>
      </w:pPr>
      <w:r>
        <w:rPr>
          <w:rFonts w:ascii="Arial" w:hAnsi="Arial" w:cs="Arial"/>
          <w:bCs/>
        </w:rPr>
        <w:t>Wexford County Council, at its Monthly Meeting of Council held on the 8</w:t>
      </w:r>
      <w:r w:rsidRPr="00563522">
        <w:rPr>
          <w:rFonts w:ascii="Arial" w:hAnsi="Arial" w:cs="Arial"/>
          <w:bCs/>
          <w:vertAlign w:val="superscript"/>
        </w:rPr>
        <w:t>th</w:t>
      </w:r>
      <w:r>
        <w:rPr>
          <w:rFonts w:ascii="Arial" w:hAnsi="Arial" w:cs="Arial"/>
          <w:bCs/>
        </w:rPr>
        <w:t xml:space="preserve"> of December 2025, made a Development Contribution Scheme in accordance with the provisions of Section 48 of the Planning and Development Act 2000 (as amended).</w:t>
      </w:r>
    </w:p>
    <w:p w14:paraId="611A8966" w14:textId="71C64ED2" w:rsidR="00916450" w:rsidRDefault="00916450" w:rsidP="00C4454A">
      <w:pPr>
        <w:spacing w:after="0" w:line="360" w:lineRule="auto"/>
        <w:rPr>
          <w:rFonts w:ascii="Arial" w:hAnsi="Arial" w:cs="Arial"/>
          <w:bCs/>
          <w:color w:val="000000" w:themeColor="text1"/>
        </w:rPr>
      </w:pPr>
      <w:r w:rsidRPr="00A60FB4">
        <w:rPr>
          <w:rFonts w:ascii="Arial" w:hAnsi="Arial" w:cs="Arial"/>
          <w:bCs/>
          <w:color w:val="000000" w:themeColor="text1"/>
        </w:rPr>
        <w:t>The Wexford County Council Development Contribution Scheme 2026-2029 shall have effect from the 1</w:t>
      </w:r>
      <w:r w:rsidRPr="00A60FB4">
        <w:rPr>
          <w:rFonts w:ascii="Arial" w:hAnsi="Arial" w:cs="Arial"/>
          <w:bCs/>
          <w:color w:val="000000" w:themeColor="text1"/>
          <w:vertAlign w:val="superscript"/>
        </w:rPr>
        <w:t>st</w:t>
      </w:r>
      <w:r w:rsidRPr="00A60FB4">
        <w:rPr>
          <w:rFonts w:ascii="Arial" w:hAnsi="Arial" w:cs="Arial"/>
          <w:bCs/>
          <w:color w:val="000000" w:themeColor="text1"/>
        </w:rPr>
        <w:t xml:space="preserve"> of January 2026</w:t>
      </w:r>
      <w:r w:rsidR="00422449">
        <w:rPr>
          <w:rFonts w:ascii="Arial" w:hAnsi="Arial" w:cs="Arial"/>
          <w:bCs/>
          <w:color w:val="000000" w:themeColor="text1"/>
        </w:rPr>
        <w:t xml:space="preserve"> and will apply to the entire functional area/administrative area of Wexford County Council. </w:t>
      </w:r>
    </w:p>
    <w:p w14:paraId="7BCC83D5" w14:textId="77777777" w:rsidR="00C4454A" w:rsidRDefault="00C4454A" w:rsidP="00C4454A">
      <w:pPr>
        <w:spacing w:after="0" w:line="360" w:lineRule="auto"/>
        <w:jc w:val="both"/>
        <w:rPr>
          <w:rFonts w:ascii="Arial" w:eastAsia="Arial" w:hAnsi="Arial" w:cs="Arial"/>
          <w:b/>
          <w:color w:val="A02B93" w:themeColor="accent5"/>
        </w:rPr>
      </w:pPr>
    </w:p>
    <w:p w14:paraId="2A2BA7AE" w14:textId="1F3CD538" w:rsidR="005C5406" w:rsidRPr="00BD0F47" w:rsidRDefault="005C5406" w:rsidP="00C4454A">
      <w:pPr>
        <w:spacing w:after="0" w:line="360" w:lineRule="auto"/>
        <w:jc w:val="both"/>
        <w:rPr>
          <w:rFonts w:ascii="Arial" w:eastAsia="Arial" w:hAnsi="Arial" w:cs="Arial"/>
          <w:b/>
          <w:color w:val="A02B93" w:themeColor="accent5"/>
        </w:rPr>
      </w:pPr>
      <w:r w:rsidRPr="00BD0F47">
        <w:rPr>
          <w:rFonts w:ascii="Arial" w:eastAsia="Arial" w:hAnsi="Arial" w:cs="Arial"/>
          <w:b/>
          <w:color w:val="A02B93" w:themeColor="accent5"/>
        </w:rPr>
        <w:t>Types of Development Contributions</w:t>
      </w:r>
    </w:p>
    <w:p w14:paraId="2A37D2D8" w14:textId="77777777" w:rsidR="005C5406" w:rsidRDefault="005C5406" w:rsidP="00C4454A">
      <w:pPr>
        <w:spacing w:line="360" w:lineRule="auto"/>
        <w:jc w:val="both"/>
        <w:rPr>
          <w:rFonts w:ascii="Arial" w:eastAsia="Arial" w:hAnsi="Arial" w:cs="Arial"/>
        </w:rPr>
      </w:pPr>
      <w:r>
        <w:rPr>
          <w:rFonts w:ascii="Arial" w:eastAsia="Arial" w:hAnsi="Arial" w:cs="Arial"/>
        </w:rPr>
        <w:t>There are three types of development contributions that may be attached to a planning permission:</w:t>
      </w:r>
    </w:p>
    <w:p w14:paraId="362D767E" w14:textId="162A52BA" w:rsidR="005C5406" w:rsidRDefault="005C5406" w:rsidP="00C4454A">
      <w:pPr>
        <w:numPr>
          <w:ilvl w:val="0"/>
          <w:numId w:val="1"/>
        </w:numPr>
        <w:spacing w:after="0" w:line="360" w:lineRule="auto"/>
        <w:ind w:left="720" w:hanging="360"/>
        <w:jc w:val="both"/>
        <w:rPr>
          <w:rFonts w:ascii="Arial" w:eastAsia="Arial" w:hAnsi="Arial" w:cs="Arial"/>
        </w:rPr>
      </w:pPr>
      <w:r w:rsidRPr="007C7472">
        <w:rPr>
          <w:rFonts w:ascii="Arial" w:eastAsia="Arial" w:hAnsi="Arial" w:cs="Arial"/>
          <w:b/>
          <w:bCs/>
        </w:rPr>
        <w:t>General Development Contributions</w:t>
      </w:r>
      <w:r>
        <w:rPr>
          <w:rFonts w:ascii="Arial" w:eastAsia="Arial" w:hAnsi="Arial" w:cs="Arial"/>
        </w:rPr>
        <w:t xml:space="preserve"> –These contributions are generally applied in respect of the provision of infrastructure and facilities in the Planning Authority area.</w:t>
      </w:r>
    </w:p>
    <w:p w14:paraId="4B183D6E" w14:textId="70B45CAB" w:rsidR="005C5406" w:rsidRDefault="005C5406" w:rsidP="00C4454A">
      <w:pPr>
        <w:numPr>
          <w:ilvl w:val="0"/>
          <w:numId w:val="2"/>
        </w:numPr>
        <w:spacing w:after="0" w:line="360" w:lineRule="auto"/>
        <w:ind w:left="720" w:hanging="360"/>
        <w:jc w:val="both"/>
        <w:rPr>
          <w:rFonts w:ascii="Arial" w:eastAsia="Arial" w:hAnsi="Arial" w:cs="Arial"/>
        </w:rPr>
      </w:pPr>
      <w:r w:rsidRPr="007C7472">
        <w:rPr>
          <w:rFonts w:ascii="Arial" w:eastAsia="Arial" w:hAnsi="Arial" w:cs="Arial"/>
          <w:b/>
          <w:bCs/>
        </w:rPr>
        <w:t>Special Development Contributions</w:t>
      </w:r>
      <w:r>
        <w:rPr>
          <w:rFonts w:ascii="Arial" w:eastAsia="Arial" w:hAnsi="Arial" w:cs="Arial"/>
        </w:rPr>
        <w:t xml:space="preserve"> - These contributions require the payment of a special contribution in respect of a particular development where specific exceptional costs not covered by a scheme are incurred by any Local Authority in respect of public infrastructure and facilities which benefit the proposed development.</w:t>
      </w:r>
    </w:p>
    <w:p w14:paraId="2B5D48D9" w14:textId="525407AD" w:rsidR="005C5406" w:rsidRDefault="005C5406" w:rsidP="00C4454A">
      <w:pPr>
        <w:numPr>
          <w:ilvl w:val="0"/>
          <w:numId w:val="3"/>
        </w:numPr>
        <w:spacing w:after="0" w:line="360" w:lineRule="auto"/>
        <w:ind w:left="720" w:hanging="360"/>
        <w:jc w:val="both"/>
        <w:rPr>
          <w:rFonts w:ascii="Arial" w:eastAsia="Arial" w:hAnsi="Arial" w:cs="Arial"/>
        </w:rPr>
      </w:pPr>
      <w:r w:rsidRPr="00C963FD">
        <w:rPr>
          <w:rFonts w:ascii="Arial" w:eastAsia="Arial" w:hAnsi="Arial" w:cs="Arial"/>
          <w:b/>
          <w:bCs/>
        </w:rPr>
        <w:t>Su</w:t>
      </w:r>
      <w:r w:rsidRPr="007C7472">
        <w:rPr>
          <w:rFonts w:ascii="Arial" w:eastAsia="Arial" w:hAnsi="Arial" w:cs="Arial"/>
          <w:b/>
          <w:bCs/>
        </w:rPr>
        <w:t>pplementary Development Contributions</w:t>
      </w:r>
      <w:r>
        <w:rPr>
          <w:rFonts w:ascii="Arial" w:eastAsia="Arial" w:hAnsi="Arial" w:cs="Arial"/>
        </w:rPr>
        <w:t>- These contributions apply to specified public infrastructure or projects for example Public/Private Partnerships or where the provision of the infrastructure is an objective in the Development Plan.</w:t>
      </w:r>
    </w:p>
    <w:p w14:paraId="00104D24" w14:textId="77777777" w:rsidR="0081505B" w:rsidRDefault="0081505B" w:rsidP="0081505B">
      <w:pPr>
        <w:spacing w:after="0" w:line="360" w:lineRule="auto"/>
        <w:ind w:left="360"/>
        <w:rPr>
          <w:rFonts w:ascii="Arial" w:hAnsi="Arial" w:cs="Arial"/>
          <w:b/>
          <w:color w:val="A02B93" w:themeColor="accent5"/>
        </w:rPr>
      </w:pPr>
      <w:r w:rsidRPr="0081505B">
        <w:rPr>
          <w:rFonts w:ascii="Arial" w:hAnsi="Arial" w:cs="Arial"/>
          <w:b/>
          <w:color w:val="A02B93" w:themeColor="accent5"/>
        </w:rPr>
        <w:lastRenderedPageBreak/>
        <w:t xml:space="preserve">Development Contribution Rates </w:t>
      </w:r>
    </w:p>
    <w:tbl>
      <w:tblPr>
        <w:tblStyle w:val="TableGrid"/>
        <w:tblW w:w="10349" w:type="dxa"/>
        <w:tblInd w:w="-856" w:type="dxa"/>
        <w:tblLook w:val="04A0" w:firstRow="1" w:lastRow="0" w:firstColumn="1" w:lastColumn="0" w:noHBand="0" w:noVBand="1"/>
      </w:tblPr>
      <w:tblGrid>
        <w:gridCol w:w="4679"/>
        <w:gridCol w:w="2409"/>
        <w:gridCol w:w="3261"/>
      </w:tblGrid>
      <w:tr w:rsidR="002627A0" w:rsidRPr="00CC7752" w14:paraId="758FB194" w14:textId="77777777" w:rsidTr="002627A0">
        <w:trPr>
          <w:tblHeader/>
        </w:trPr>
        <w:tc>
          <w:tcPr>
            <w:tcW w:w="4679" w:type="dxa"/>
          </w:tcPr>
          <w:p w14:paraId="7C86AA1F" w14:textId="77777777" w:rsidR="002627A0" w:rsidRPr="00CC7752" w:rsidRDefault="002627A0" w:rsidP="00D855E8">
            <w:pPr>
              <w:autoSpaceDE w:val="0"/>
              <w:autoSpaceDN w:val="0"/>
              <w:adjustRightInd w:val="0"/>
              <w:spacing w:line="360" w:lineRule="auto"/>
              <w:rPr>
                <w:rFonts w:cs="Arial"/>
                <w:b/>
                <w:bCs/>
              </w:rPr>
            </w:pPr>
            <w:r w:rsidRPr="00CC7752">
              <w:rPr>
                <w:rFonts w:cs="Arial"/>
                <w:b/>
                <w:bCs/>
              </w:rPr>
              <w:t>Development Type</w:t>
            </w:r>
          </w:p>
        </w:tc>
        <w:tc>
          <w:tcPr>
            <w:tcW w:w="2409" w:type="dxa"/>
          </w:tcPr>
          <w:p w14:paraId="4E57C968" w14:textId="77777777" w:rsidR="002627A0" w:rsidRPr="00CC7752" w:rsidRDefault="002627A0" w:rsidP="00D855E8">
            <w:pPr>
              <w:autoSpaceDE w:val="0"/>
              <w:autoSpaceDN w:val="0"/>
              <w:adjustRightInd w:val="0"/>
              <w:spacing w:line="360" w:lineRule="auto"/>
              <w:rPr>
                <w:rFonts w:cs="Arial"/>
                <w:b/>
                <w:bCs/>
              </w:rPr>
            </w:pPr>
            <w:r w:rsidRPr="00CC7752">
              <w:rPr>
                <w:rFonts w:cs="Arial"/>
                <w:b/>
                <w:bCs/>
              </w:rPr>
              <w:t>Total</w:t>
            </w:r>
          </w:p>
        </w:tc>
        <w:tc>
          <w:tcPr>
            <w:tcW w:w="3261" w:type="dxa"/>
          </w:tcPr>
          <w:p w14:paraId="18D66FE7" w14:textId="77777777" w:rsidR="002627A0" w:rsidRPr="00CC7752" w:rsidRDefault="002627A0" w:rsidP="00D855E8">
            <w:pPr>
              <w:autoSpaceDE w:val="0"/>
              <w:autoSpaceDN w:val="0"/>
              <w:adjustRightInd w:val="0"/>
              <w:spacing w:line="360" w:lineRule="auto"/>
              <w:rPr>
                <w:rFonts w:cs="Arial"/>
                <w:b/>
                <w:bCs/>
              </w:rPr>
            </w:pPr>
            <w:r>
              <w:rPr>
                <w:rFonts w:cs="Arial"/>
                <w:b/>
                <w:bCs/>
              </w:rPr>
              <w:t xml:space="preserve">Retention </w:t>
            </w:r>
          </w:p>
        </w:tc>
      </w:tr>
      <w:tr w:rsidR="002627A0" w:rsidRPr="00CC7752" w14:paraId="5D873CF8" w14:textId="77777777" w:rsidTr="002627A0">
        <w:tc>
          <w:tcPr>
            <w:tcW w:w="4679" w:type="dxa"/>
          </w:tcPr>
          <w:p w14:paraId="249C719B" w14:textId="77777777" w:rsidR="002627A0" w:rsidRPr="00CC7752" w:rsidRDefault="002627A0" w:rsidP="00D855E8">
            <w:pPr>
              <w:autoSpaceDE w:val="0"/>
              <w:autoSpaceDN w:val="0"/>
              <w:adjustRightInd w:val="0"/>
              <w:spacing w:line="360" w:lineRule="auto"/>
              <w:rPr>
                <w:rFonts w:cs="Arial"/>
              </w:rPr>
            </w:pPr>
            <w:r w:rsidRPr="00CC7752">
              <w:rPr>
                <w:rFonts w:cs="Arial"/>
              </w:rPr>
              <w:t>Residential (including Extensions &amp; Nursing Homes)</w:t>
            </w:r>
          </w:p>
        </w:tc>
        <w:tc>
          <w:tcPr>
            <w:tcW w:w="2409" w:type="dxa"/>
          </w:tcPr>
          <w:p w14:paraId="5E9DF272"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25</w:t>
            </w:r>
            <w:r>
              <w:rPr>
                <w:rFonts w:cs="Arial"/>
              </w:rPr>
              <w:t xml:space="preserve"> per m²</w:t>
            </w:r>
          </w:p>
        </w:tc>
        <w:tc>
          <w:tcPr>
            <w:tcW w:w="3261" w:type="dxa"/>
          </w:tcPr>
          <w:p w14:paraId="6C6AF007" w14:textId="77777777" w:rsidR="002627A0" w:rsidRDefault="002627A0" w:rsidP="00D855E8">
            <w:pPr>
              <w:autoSpaceDE w:val="0"/>
              <w:autoSpaceDN w:val="0"/>
              <w:adjustRightInd w:val="0"/>
              <w:spacing w:line="360" w:lineRule="auto"/>
              <w:rPr>
                <w:rFonts w:cs="Arial"/>
              </w:rPr>
            </w:pPr>
            <w:r>
              <w:rPr>
                <w:rFonts w:cs="Arial"/>
              </w:rPr>
              <w:t>3 x floor space contribution</w:t>
            </w:r>
          </w:p>
        </w:tc>
      </w:tr>
      <w:tr w:rsidR="002627A0" w:rsidRPr="00CC7752" w14:paraId="12EBF16F" w14:textId="77777777" w:rsidTr="002627A0">
        <w:tc>
          <w:tcPr>
            <w:tcW w:w="4679" w:type="dxa"/>
          </w:tcPr>
          <w:p w14:paraId="283ADCD2" w14:textId="77777777" w:rsidR="002627A0" w:rsidRPr="00CC7752" w:rsidRDefault="002627A0" w:rsidP="00D855E8">
            <w:pPr>
              <w:autoSpaceDE w:val="0"/>
              <w:autoSpaceDN w:val="0"/>
              <w:adjustRightInd w:val="0"/>
              <w:spacing w:line="360" w:lineRule="auto"/>
              <w:rPr>
                <w:rFonts w:cs="Arial"/>
              </w:rPr>
            </w:pPr>
            <w:r>
              <w:rPr>
                <w:rFonts w:cs="Arial"/>
              </w:rPr>
              <w:t>Domestic Garage/Shed/Car Port</w:t>
            </w:r>
          </w:p>
        </w:tc>
        <w:tc>
          <w:tcPr>
            <w:tcW w:w="2409" w:type="dxa"/>
          </w:tcPr>
          <w:p w14:paraId="7374CD27" w14:textId="77777777" w:rsidR="002627A0" w:rsidRPr="00CC7752" w:rsidRDefault="002627A0" w:rsidP="00D855E8">
            <w:pPr>
              <w:autoSpaceDE w:val="0"/>
              <w:autoSpaceDN w:val="0"/>
              <w:adjustRightInd w:val="0"/>
              <w:spacing w:line="360" w:lineRule="auto"/>
              <w:rPr>
                <w:rFonts w:cs="Arial"/>
              </w:rPr>
            </w:pPr>
            <w:r>
              <w:rPr>
                <w:rFonts w:cs="Arial"/>
              </w:rPr>
              <w:t>€25 per m²</w:t>
            </w:r>
          </w:p>
        </w:tc>
        <w:tc>
          <w:tcPr>
            <w:tcW w:w="3261" w:type="dxa"/>
          </w:tcPr>
          <w:p w14:paraId="62EF5710" w14:textId="77777777" w:rsidR="002627A0" w:rsidRDefault="002627A0" w:rsidP="00D855E8">
            <w:pPr>
              <w:autoSpaceDE w:val="0"/>
              <w:autoSpaceDN w:val="0"/>
              <w:adjustRightInd w:val="0"/>
              <w:spacing w:line="360" w:lineRule="auto"/>
              <w:rPr>
                <w:rFonts w:cs="Arial"/>
              </w:rPr>
            </w:pPr>
            <w:r>
              <w:rPr>
                <w:rFonts w:cs="Arial"/>
              </w:rPr>
              <w:t>3 x floor space contribution</w:t>
            </w:r>
          </w:p>
        </w:tc>
      </w:tr>
      <w:tr w:rsidR="002627A0" w:rsidRPr="00CC7752" w14:paraId="448BB4B0" w14:textId="77777777" w:rsidTr="002627A0">
        <w:tc>
          <w:tcPr>
            <w:tcW w:w="4679" w:type="dxa"/>
          </w:tcPr>
          <w:p w14:paraId="0099E307" w14:textId="77777777" w:rsidR="002627A0" w:rsidRPr="006229C0" w:rsidRDefault="002627A0" w:rsidP="00D855E8">
            <w:pPr>
              <w:spacing w:line="360" w:lineRule="auto"/>
              <w:rPr>
                <w:rFonts w:cs="Arial"/>
              </w:rPr>
            </w:pPr>
            <w:r>
              <w:rPr>
                <w:rFonts w:cs="Arial"/>
              </w:rPr>
              <w:t>Warehousing/Manufacturing</w:t>
            </w:r>
          </w:p>
        </w:tc>
        <w:tc>
          <w:tcPr>
            <w:tcW w:w="2409" w:type="dxa"/>
          </w:tcPr>
          <w:p w14:paraId="15F2B56F"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2</w:t>
            </w:r>
            <w:r>
              <w:rPr>
                <w:rFonts w:cs="Arial"/>
              </w:rPr>
              <w:t>4 per m²</w:t>
            </w:r>
          </w:p>
        </w:tc>
        <w:tc>
          <w:tcPr>
            <w:tcW w:w="3261" w:type="dxa"/>
          </w:tcPr>
          <w:p w14:paraId="1B270F89" w14:textId="77777777" w:rsidR="002627A0" w:rsidRDefault="002627A0" w:rsidP="00D855E8">
            <w:pPr>
              <w:autoSpaceDE w:val="0"/>
              <w:autoSpaceDN w:val="0"/>
              <w:adjustRightInd w:val="0"/>
              <w:spacing w:line="360" w:lineRule="auto"/>
              <w:rPr>
                <w:rFonts w:cs="Arial"/>
              </w:rPr>
            </w:pPr>
            <w:r>
              <w:rPr>
                <w:rFonts w:cs="Arial"/>
              </w:rPr>
              <w:t>3 x floor space contribution</w:t>
            </w:r>
          </w:p>
        </w:tc>
      </w:tr>
      <w:tr w:rsidR="002627A0" w:rsidRPr="00CC7752" w14:paraId="70356AD9" w14:textId="77777777" w:rsidTr="002627A0">
        <w:tc>
          <w:tcPr>
            <w:tcW w:w="4679" w:type="dxa"/>
          </w:tcPr>
          <w:p w14:paraId="3E9FAD70" w14:textId="77777777" w:rsidR="002627A0" w:rsidRDefault="002627A0" w:rsidP="00D855E8">
            <w:pPr>
              <w:spacing w:line="360" w:lineRule="auto"/>
              <w:rPr>
                <w:rFonts w:cs="Arial"/>
              </w:rPr>
            </w:pPr>
            <w:r>
              <w:rPr>
                <w:rFonts w:cs="Arial"/>
              </w:rPr>
              <w:t>Commercial/Office/Retail</w:t>
            </w:r>
          </w:p>
        </w:tc>
        <w:tc>
          <w:tcPr>
            <w:tcW w:w="2409" w:type="dxa"/>
          </w:tcPr>
          <w:p w14:paraId="26CF035C" w14:textId="77777777" w:rsidR="002627A0" w:rsidRDefault="002627A0" w:rsidP="00D855E8">
            <w:pPr>
              <w:autoSpaceDE w:val="0"/>
              <w:autoSpaceDN w:val="0"/>
              <w:adjustRightInd w:val="0"/>
              <w:spacing w:line="360" w:lineRule="auto"/>
              <w:rPr>
                <w:rFonts w:cs="Arial"/>
              </w:rPr>
            </w:pPr>
            <w:r>
              <w:rPr>
                <w:rFonts w:cs="Arial"/>
              </w:rPr>
              <w:t>€25 per m²</w:t>
            </w:r>
          </w:p>
        </w:tc>
        <w:tc>
          <w:tcPr>
            <w:tcW w:w="3261" w:type="dxa"/>
          </w:tcPr>
          <w:p w14:paraId="6EC0A98D" w14:textId="77777777" w:rsidR="002627A0" w:rsidRDefault="002627A0" w:rsidP="00D855E8">
            <w:pPr>
              <w:autoSpaceDE w:val="0"/>
              <w:autoSpaceDN w:val="0"/>
              <w:adjustRightInd w:val="0"/>
              <w:spacing w:line="360" w:lineRule="auto"/>
              <w:rPr>
                <w:rFonts w:cs="Arial"/>
              </w:rPr>
            </w:pPr>
            <w:r>
              <w:rPr>
                <w:rFonts w:cs="Arial"/>
              </w:rPr>
              <w:t>3 x floor space contribution</w:t>
            </w:r>
          </w:p>
        </w:tc>
      </w:tr>
      <w:tr w:rsidR="002627A0" w:rsidRPr="00CC7752" w14:paraId="098B9079" w14:textId="77777777" w:rsidTr="002627A0">
        <w:tc>
          <w:tcPr>
            <w:tcW w:w="4679" w:type="dxa"/>
          </w:tcPr>
          <w:p w14:paraId="4C5104F0" w14:textId="77777777" w:rsidR="002627A0" w:rsidRPr="00CC7752" w:rsidRDefault="002627A0" w:rsidP="00D855E8">
            <w:pPr>
              <w:autoSpaceDE w:val="0"/>
              <w:autoSpaceDN w:val="0"/>
              <w:adjustRightInd w:val="0"/>
              <w:spacing w:line="360" w:lineRule="auto"/>
              <w:rPr>
                <w:rFonts w:cs="Arial"/>
              </w:rPr>
            </w:pPr>
            <w:r w:rsidRPr="00CC7752">
              <w:rPr>
                <w:rFonts w:cs="Arial"/>
              </w:rPr>
              <w:t>Hotels</w:t>
            </w:r>
          </w:p>
        </w:tc>
        <w:tc>
          <w:tcPr>
            <w:tcW w:w="2409" w:type="dxa"/>
          </w:tcPr>
          <w:p w14:paraId="0FA46DFF"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15</w:t>
            </w:r>
            <w:r>
              <w:rPr>
                <w:rFonts w:cs="Arial"/>
              </w:rPr>
              <w:t xml:space="preserve"> per m²</w:t>
            </w:r>
          </w:p>
        </w:tc>
        <w:tc>
          <w:tcPr>
            <w:tcW w:w="3261" w:type="dxa"/>
          </w:tcPr>
          <w:p w14:paraId="321C7A46" w14:textId="77777777" w:rsidR="002627A0" w:rsidRDefault="002627A0" w:rsidP="00D855E8">
            <w:pPr>
              <w:autoSpaceDE w:val="0"/>
              <w:autoSpaceDN w:val="0"/>
              <w:adjustRightInd w:val="0"/>
              <w:spacing w:line="360" w:lineRule="auto"/>
              <w:rPr>
                <w:rFonts w:cs="Arial"/>
              </w:rPr>
            </w:pPr>
            <w:r>
              <w:rPr>
                <w:rFonts w:cs="Arial"/>
              </w:rPr>
              <w:t>3 x floor space contribution</w:t>
            </w:r>
          </w:p>
        </w:tc>
      </w:tr>
      <w:tr w:rsidR="002627A0" w:rsidRPr="00CC7752" w14:paraId="612915B8" w14:textId="77777777" w:rsidTr="002627A0">
        <w:tc>
          <w:tcPr>
            <w:tcW w:w="4679" w:type="dxa"/>
          </w:tcPr>
          <w:p w14:paraId="4A32188B" w14:textId="77777777" w:rsidR="002627A0" w:rsidRPr="00CC7752" w:rsidRDefault="002627A0" w:rsidP="00D855E8">
            <w:pPr>
              <w:autoSpaceDE w:val="0"/>
              <w:autoSpaceDN w:val="0"/>
              <w:adjustRightInd w:val="0"/>
              <w:spacing w:line="360" w:lineRule="auto"/>
              <w:rPr>
                <w:rFonts w:cs="Arial"/>
              </w:rPr>
            </w:pPr>
            <w:r w:rsidRPr="00CC7752">
              <w:rPr>
                <w:rFonts w:cs="Arial"/>
              </w:rPr>
              <w:t>Golf Courses etc per hectare</w:t>
            </w:r>
          </w:p>
        </w:tc>
        <w:tc>
          <w:tcPr>
            <w:tcW w:w="2409" w:type="dxa"/>
          </w:tcPr>
          <w:p w14:paraId="39A6B3B9"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50</w:t>
            </w:r>
            <w:r>
              <w:rPr>
                <w:rFonts w:cs="Arial"/>
              </w:rPr>
              <w:t xml:space="preserve">0 per HA </w:t>
            </w:r>
          </w:p>
        </w:tc>
        <w:tc>
          <w:tcPr>
            <w:tcW w:w="3261" w:type="dxa"/>
          </w:tcPr>
          <w:p w14:paraId="4B4996C0"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094F2174" w14:textId="77777777" w:rsidTr="002627A0">
        <w:tc>
          <w:tcPr>
            <w:tcW w:w="4679" w:type="dxa"/>
          </w:tcPr>
          <w:p w14:paraId="0033291C" w14:textId="77777777" w:rsidR="002627A0" w:rsidRPr="00CC7752" w:rsidRDefault="002627A0" w:rsidP="00D855E8">
            <w:pPr>
              <w:autoSpaceDE w:val="0"/>
              <w:autoSpaceDN w:val="0"/>
              <w:adjustRightInd w:val="0"/>
              <w:spacing w:line="360" w:lineRule="auto"/>
              <w:rPr>
                <w:rFonts w:cs="Arial"/>
              </w:rPr>
            </w:pPr>
            <w:r w:rsidRPr="00CC7752">
              <w:rPr>
                <w:rFonts w:cs="Arial"/>
              </w:rPr>
              <w:t>External Area/</w:t>
            </w:r>
            <w:r>
              <w:rPr>
                <w:rFonts w:cs="Arial"/>
              </w:rPr>
              <w:t>Mobile Units/</w:t>
            </w:r>
            <w:r w:rsidRPr="00CC7752">
              <w:rPr>
                <w:rFonts w:cs="Arial"/>
              </w:rPr>
              <w:t xml:space="preserve">Retail Storage &amp; Others </w:t>
            </w:r>
          </w:p>
        </w:tc>
        <w:tc>
          <w:tcPr>
            <w:tcW w:w="2409" w:type="dxa"/>
          </w:tcPr>
          <w:p w14:paraId="45FFB3F1"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15</w:t>
            </w:r>
            <w:r>
              <w:rPr>
                <w:rFonts w:cs="Arial"/>
              </w:rPr>
              <w:t xml:space="preserve"> per m²</w:t>
            </w:r>
          </w:p>
        </w:tc>
        <w:tc>
          <w:tcPr>
            <w:tcW w:w="3261" w:type="dxa"/>
          </w:tcPr>
          <w:p w14:paraId="7DA6F698" w14:textId="77777777" w:rsidR="002627A0" w:rsidRDefault="002627A0" w:rsidP="00D855E8">
            <w:pPr>
              <w:autoSpaceDE w:val="0"/>
              <w:autoSpaceDN w:val="0"/>
              <w:adjustRightInd w:val="0"/>
              <w:spacing w:line="360" w:lineRule="auto"/>
              <w:rPr>
                <w:rFonts w:cs="Arial"/>
              </w:rPr>
            </w:pPr>
            <w:r>
              <w:rPr>
                <w:rFonts w:cs="Arial"/>
              </w:rPr>
              <w:t>3 x floor space contribution</w:t>
            </w:r>
          </w:p>
        </w:tc>
      </w:tr>
      <w:tr w:rsidR="002627A0" w:rsidRPr="00CC7752" w14:paraId="77E546A6" w14:textId="77777777" w:rsidTr="002627A0">
        <w:tc>
          <w:tcPr>
            <w:tcW w:w="4679" w:type="dxa"/>
          </w:tcPr>
          <w:p w14:paraId="3BC318E9" w14:textId="77777777" w:rsidR="002627A0" w:rsidRPr="00CC7752" w:rsidRDefault="002627A0" w:rsidP="00D855E8">
            <w:pPr>
              <w:autoSpaceDE w:val="0"/>
              <w:autoSpaceDN w:val="0"/>
              <w:adjustRightInd w:val="0"/>
              <w:spacing w:line="360" w:lineRule="auto"/>
              <w:rPr>
                <w:rFonts w:cs="Arial"/>
              </w:rPr>
            </w:pPr>
            <w:r w:rsidRPr="00CC7752">
              <w:rPr>
                <w:rFonts w:cs="Arial"/>
              </w:rPr>
              <w:t>Extractive Industry (Quarries) per m</w:t>
            </w:r>
            <w:r>
              <w:rPr>
                <w:rFonts w:cs="Arial"/>
              </w:rPr>
              <w:t>³</w:t>
            </w:r>
          </w:p>
        </w:tc>
        <w:tc>
          <w:tcPr>
            <w:tcW w:w="2409" w:type="dxa"/>
          </w:tcPr>
          <w:p w14:paraId="069ABEB1"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1.20</w:t>
            </w:r>
            <w:r>
              <w:rPr>
                <w:rFonts w:cs="Arial"/>
              </w:rPr>
              <w:t xml:space="preserve"> per m³</w:t>
            </w:r>
          </w:p>
        </w:tc>
        <w:tc>
          <w:tcPr>
            <w:tcW w:w="3261" w:type="dxa"/>
          </w:tcPr>
          <w:p w14:paraId="79922D6A"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0096DF2C" w14:textId="77777777" w:rsidTr="002627A0">
        <w:tc>
          <w:tcPr>
            <w:tcW w:w="4679" w:type="dxa"/>
          </w:tcPr>
          <w:p w14:paraId="31D433FC" w14:textId="77777777" w:rsidR="002627A0" w:rsidRPr="00CC7752" w:rsidRDefault="002627A0" w:rsidP="00D855E8">
            <w:pPr>
              <w:autoSpaceDE w:val="0"/>
              <w:autoSpaceDN w:val="0"/>
              <w:adjustRightInd w:val="0"/>
              <w:spacing w:line="360" w:lineRule="auto"/>
              <w:rPr>
                <w:rFonts w:cs="Arial"/>
              </w:rPr>
            </w:pPr>
            <w:r>
              <w:rPr>
                <w:rFonts w:cs="Arial"/>
              </w:rPr>
              <w:t>Power Generation -</w:t>
            </w:r>
            <w:r w:rsidRPr="00CC7752">
              <w:rPr>
                <w:rFonts w:cs="Arial"/>
              </w:rPr>
              <w:t xml:space="preserve"> Renewables </w:t>
            </w:r>
          </w:p>
        </w:tc>
        <w:tc>
          <w:tcPr>
            <w:tcW w:w="2409" w:type="dxa"/>
          </w:tcPr>
          <w:p w14:paraId="54613468"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10,000 p/mw</w:t>
            </w:r>
          </w:p>
        </w:tc>
        <w:tc>
          <w:tcPr>
            <w:tcW w:w="3261" w:type="dxa"/>
          </w:tcPr>
          <w:p w14:paraId="30246DD9"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73DB681D" w14:textId="77777777" w:rsidTr="002627A0">
        <w:tc>
          <w:tcPr>
            <w:tcW w:w="4679" w:type="dxa"/>
          </w:tcPr>
          <w:p w14:paraId="36FC5D72" w14:textId="77777777" w:rsidR="002627A0" w:rsidRPr="00CC7752" w:rsidRDefault="002627A0" w:rsidP="00D855E8">
            <w:pPr>
              <w:autoSpaceDE w:val="0"/>
              <w:autoSpaceDN w:val="0"/>
              <w:adjustRightInd w:val="0"/>
              <w:spacing w:line="360" w:lineRule="auto"/>
              <w:rPr>
                <w:rFonts w:cs="Arial"/>
              </w:rPr>
            </w:pPr>
            <w:r>
              <w:rPr>
                <w:rFonts w:cs="Arial"/>
              </w:rPr>
              <w:t>Power Generation – Non Renewables</w:t>
            </w:r>
          </w:p>
        </w:tc>
        <w:tc>
          <w:tcPr>
            <w:tcW w:w="2409" w:type="dxa"/>
          </w:tcPr>
          <w:p w14:paraId="375F621B" w14:textId="77777777" w:rsidR="002627A0" w:rsidRPr="00CC7752" w:rsidRDefault="002627A0" w:rsidP="00D855E8">
            <w:pPr>
              <w:autoSpaceDE w:val="0"/>
              <w:autoSpaceDN w:val="0"/>
              <w:adjustRightInd w:val="0"/>
              <w:spacing w:line="360" w:lineRule="auto"/>
              <w:rPr>
                <w:rFonts w:cs="Arial"/>
              </w:rPr>
            </w:pPr>
            <w:r>
              <w:rPr>
                <w:rFonts w:cs="Arial"/>
              </w:rPr>
              <w:t>€2</w:t>
            </w:r>
            <w:r w:rsidRPr="00CC7752">
              <w:rPr>
                <w:rFonts w:cs="Arial"/>
              </w:rPr>
              <w:t>0,000 p/mw</w:t>
            </w:r>
          </w:p>
        </w:tc>
        <w:tc>
          <w:tcPr>
            <w:tcW w:w="3261" w:type="dxa"/>
          </w:tcPr>
          <w:p w14:paraId="6143748E"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3A9F4478" w14:textId="77777777" w:rsidTr="002627A0">
        <w:tc>
          <w:tcPr>
            <w:tcW w:w="4679" w:type="dxa"/>
          </w:tcPr>
          <w:p w14:paraId="43361C64" w14:textId="77777777" w:rsidR="002627A0" w:rsidRPr="00CC7752" w:rsidRDefault="002627A0" w:rsidP="00D855E8">
            <w:pPr>
              <w:autoSpaceDE w:val="0"/>
              <w:autoSpaceDN w:val="0"/>
              <w:adjustRightInd w:val="0"/>
              <w:spacing w:line="360" w:lineRule="auto"/>
              <w:rPr>
                <w:rFonts w:cs="Arial"/>
              </w:rPr>
            </w:pPr>
            <w:r>
              <w:rPr>
                <w:rFonts w:cs="Arial"/>
              </w:rPr>
              <w:t>Touring Pitches</w:t>
            </w:r>
          </w:p>
        </w:tc>
        <w:tc>
          <w:tcPr>
            <w:tcW w:w="2409" w:type="dxa"/>
          </w:tcPr>
          <w:p w14:paraId="77AC98CC" w14:textId="77777777" w:rsidR="002627A0" w:rsidRDefault="002627A0" w:rsidP="00D855E8">
            <w:pPr>
              <w:autoSpaceDE w:val="0"/>
              <w:autoSpaceDN w:val="0"/>
              <w:adjustRightInd w:val="0"/>
              <w:spacing w:line="360" w:lineRule="auto"/>
              <w:rPr>
                <w:rFonts w:cs="Arial"/>
              </w:rPr>
            </w:pPr>
            <w:r>
              <w:rPr>
                <w:rFonts w:cs="Arial"/>
              </w:rPr>
              <w:t>€400</w:t>
            </w:r>
          </w:p>
        </w:tc>
        <w:tc>
          <w:tcPr>
            <w:tcW w:w="3261" w:type="dxa"/>
          </w:tcPr>
          <w:p w14:paraId="336EBEEC" w14:textId="77777777" w:rsidR="002627A0" w:rsidRDefault="002627A0" w:rsidP="00D855E8">
            <w:pPr>
              <w:autoSpaceDE w:val="0"/>
              <w:autoSpaceDN w:val="0"/>
              <w:adjustRightInd w:val="0"/>
              <w:spacing w:line="360" w:lineRule="auto"/>
              <w:rPr>
                <w:rFonts w:cs="Arial"/>
              </w:rPr>
            </w:pPr>
            <w:r>
              <w:rPr>
                <w:rFonts w:cs="Arial"/>
              </w:rPr>
              <w:t>3 x contribution</w:t>
            </w:r>
          </w:p>
        </w:tc>
      </w:tr>
      <w:tr w:rsidR="002627A0" w:rsidRPr="00CC7752" w14:paraId="1B22BC64" w14:textId="77777777" w:rsidTr="002627A0">
        <w:tc>
          <w:tcPr>
            <w:tcW w:w="4679" w:type="dxa"/>
          </w:tcPr>
          <w:p w14:paraId="0B12762E" w14:textId="77777777" w:rsidR="002627A0" w:rsidRPr="00CC7752" w:rsidRDefault="002627A0" w:rsidP="00D855E8">
            <w:pPr>
              <w:autoSpaceDE w:val="0"/>
              <w:autoSpaceDN w:val="0"/>
              <w:adjustRightInd w:val="0"/>
              <w:spacing w:line="360" w:lineRule="auto"/>
              <w:rPr>
                <w:rFonts w:cs="Arial"/>
              </w:rPr>
            </w:pPr>
            <w:r>
              <w:rPr>
                <w:rFonts w:cs="Arial"/>
              </w:rPr>
              <w:t>Static</w:t>
            </w:r>
            <w:r w:rsidRPr="00CC7752">
              <w:rPr>
                <w:rFonts w:cs="Arial"/>
              </w:rPr>
              <w:t xml:space="preserve"> Pitches/Mobile Homes/Caravans</w:t>
            </w:r>
          </w:p>
        </w:tc>
        <w:tc>
          <w:tcPr>
            <w:tcW w:w="2409" w:type="dxa"/>
          </w:tcPr>
          <w:p w14:paraId="45A9F57D" w14:textId="77777777" w:rsidR="002627A0" w:rsidRPr="00CC7752" w:rsidRDefault="002627A0" w:rsidP="00D855E8">
            <w:pPr>
              <w:autoSpaceDE w:val="0"/>
              <w:autoSpaceDN w:val="0"/>
              <w:adjustRightInd w:val="0"/>
              <w:spacing w:line="360" w:lineRule="auto"/>
              <w:rPr>
                <w:rFonts w:cs="Arial"/>
              </w:rPr>
            </w:pPr>
            <w:r>
              <w:rPr>
                <w:rFonts w:cs="Arial"/>
              </w:rPr>
              <w:t>€800</w:t>
            </w:r>
          </w:p>
        </w:tc>
        <w:tc>
          <w:tcPr>
            <w:tcW w:w="3261" w:type="dxa"/>
          </w:tcPr>
          <w:p w14:paraId="243B89D0" w14:textId="77777777" w:rsidR="002627A0" w:rsidRDefault="002627A0" w:rsidP="00D855E8">
            <w:pPr>
              <w:autoSpaceDE w:val="0"/>
              <w:autoSpaceDN w:val="0"/>
              <w:adjustRightInd w:val="0"/>
              <w:spacing w:line="360" w:lineRule="auto"/>
              <w:rPr>
                <w:rFonts w:cs="Arial"/>
              </w:rPr>
            </w:pPr>
            <w:r>
              <w:rPr>
                <w:rFonts w:cs="Arial"/>
              </w:rPr>
              <w:t>3 x contribution</w:t>
            </w:r>
          </w:p>
        </w:tc>
      </w:tr>
      <w:tr w:rsidR="002627A0" w:rsidRPr="00CC7752" w14:paraId="2E4D403C" w14:textId="77777777" w:rsidTr="002627A0">
        <w:tc>
          <w:tcPr>
            <w:tcW w:w="4679" w:type="dxa"/>
          </w:tcPr>
          <w:p w14:paraId="1EA21B47" w14:textId="77777777" w:rsidR="002627A0" w:rsidRPr="00CC7752" w:rsidRDefault="002627A0" w:rsidP="00D855E8">
            <w:pPr>
              <w:autoSpaceDE w:val="0"/>
              <w:autoSpaceDN w:val="0"/>
              <w:adjustRightInd w:val="0"/>
              <w:spacing w:line="360" w:lineRule="auto"/>
              <w:rPr>
                <w:rFonts w:cs="Arial"/>
              </w:rPr>
            </w:pPr>
            <w:r w:rsidRPr="00CC7752">
              <w:rPr>
                <w:rFonts w:cs="Arial"/>
              </w:rPr>
              <w:t>Agriculture per m²</w:t>
            </w:r>
          </w:p>
        </w:tc>
        <w:tc>
          <w:tcPr>
            <w:tcW w:w="2409" w:type="dxa"/>
          </w:tcPr>
          <w:p w14:paraId="5F841ADB" w14:textId="77777777" w:rsidR="002627A0" w:rsidRPr="00CC7752" w:rsidRDefault="002627A0" w:rsidP="00D855E8">
            <w:pPr>
              <w:autoSpaceDE w:val="0"/>
              <w:autoSpaceDN w:val="0"/>
              <w:adjustRightInd w:val="0"/>
              <w:spacing w:line="360" w:lineRule="auto"/>
              <w:rPr>
                <w:rFonts w:cs="Arial"/>
              </w:rPr>
            </w:pPr>
            <w:r>
              <w:rPr>
                <w:rFonts w:cs="Arial"/>
              </w:rPr>
              <w:t>€4 per m² over 500m²</w:t>
            </w:r>
          </w:p>
        </w:tc>
        <w:tc>
          <w:tcPr>
            <w:tcW w:w="3261" w:type="dxa"/>
          </w:tcPr>
          <w:p w14:paraId="6A071F6B"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41948E1D" w14:textId="77777777" w:rsidTr="002627A0">
        <w:tc>
          <w:tcPr>
            <w:tcW w:w="4679" w:type="dxa"/>
          </w:tcPr>
          <w:p w14:paraId="64A61B01" w14:textId="77777777" w:rsidR="002627A0" w:rsidRPr="00CC7752" w:rsidRDefault="002627A0" w:rsidP="00D855E8">
            <w:pPr>
              <w:autoSpaceDE w:val="0"/>
              <w:autoSpaceDN w:val="0"/>
              <w:adjustRightInd w:val="0"/>
              <w:spacing w:line="360" w:lineRule="auto"/>
              <w:rPr>
                <w:rFonts w:cs="Arial"/>
              </w:rPr>
            </w:pPr>
            <w:r>
              <w:rPr>
                <w:rFonts w:cs="Arial"/>
              </w:rPr>
              <w:t>Intensive Agriculture, Buildings, Housing, Animals, Fowls, Pigs, Cows</w:t>
            </w:r>
          </w:p>
        </w:tc>
        <w:tc>
          <w:tcPr>
            <w:tcW w:w="2409" w:type="dxa"/>
          </w:tcPr>
          <w:p w14:paraId="57960B60" w14:textId="77777777" w:rsidR="002627A0" w:rsidRDefault="002627A0" w:rsidP="00D855E8">
            <w:pPr>
              <w:autoSpaceDE w:val="0"/>
              <w:autoSpaceDN w:val="0"/>
              <w:adjustRightInd w:val="0"/>
              <w:spacing w:line="360" w:lineRule="auto"/>
              <w:rPr>
                <w:rFonts w:cs="Arial"/>
              </w:rPr>
            </w:pPr>
            <w:r>
              <w:rPr>
                <w:rFonts w:cs="Arial"/>
              </w:rPr>
              <w:t>€8</w:t>
            </w:r>
          </w:p>
        </w:tc>
        <w:tc>
          <w:tcPr>
            <w:tcW w:w="3261" w:type="dxa"/>
          </w:tcPr>
          <w:p w14:paraId="323F4DB3"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24E829FF" w14:textId="77777777" w:rsidTr="002627A0">
        <w:tc>
          <w:tcPr>
            <w:tcW w:w="4679" w:type="dxa"/>
          </w:tcPr>
          <w:p w14:paraId="7B1CD050" w14:textId="77777777" w:rsidR="002627A0" w:rsidRPr="00CC7752" w:rsidRDefault="002627A0" w:rsidP="00D855E8">
            <w:pPr>
              <w:autoSpaceDE w:val="0"/>
              <w:autoSpaceDN w:val="0"/>
              <w:adjustRightInd w:val="0"/>
              <w:spacing w:line="360" w:lineRule="auto"/>
              <w:rPr>
                <w:rFonts w:cs="Arial"/>
              </w:rPr>
            </w:pPr>
            <w:r w:rsidRPr="00CC7752">
              <w:rPr>
                <w:rFonts w:cs="Arial"/>
              </w:rPr>
              <w:t xml:space="preserve">Carwashes per bay </w:t>
            </w:r>
          </w:p>
        </w:tc>
        <w:tc>
          <w:tcPr>
            <w:tcW w:w="2409" w:type="dxa"/>
          </w:tcPr>
          <w:p w14:paraId="320BB230"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1,000</w:t>
            </w:r>
          </w:p>
        </w:tc>
        <w:tc>
          <w:tcPr>
            <w:tcW w:w="3261" w:type="dxa"/>
          </w:tcPr>
          <w:p w14:paraId="05BFA9F7" w14:textId="77777777" w:rsidR="002627A0" w:rsidRDefault="002627A0" w:rsidP="00D855E8">
            <w:pPr>
              <w:autoSpaceDE w:val="0"/>
              <w:autoSpaceDN w:val="0"/>
              <w:adjustRightInd w:val="0"/>
              <w:spacing w:line="360" w:lineRule="auto"/>
              <w:rPr>
                <w:rFonts w:cs="Arial"/>
              </w:rPr>
            </w:pPr>
            <w:r>
              <w:rPr>
                <w:rFonts w:cs="Arial"/>
              </w:rPr>
              <w:t>3 x contribution</w:t>
            </w:r>
          </w:p>
        </w:tc>
      </w:tr>
      <w:tr w:rsidR="002627A0" w:rsidRPr="00CC7752" w14:paraId="131410FB" w14:textId="77777777" w:rsidTr="002627A0">
        <w:tc>
          <w:tcPr>
            <w:tcW w:w="4679" w:type="dxa"/>
          </w:tcPr>
          <w:p w14:paraId="799FD720" w14:textId="77777777" w:rsidR="002627A0" w:rsidRPr="00CC7752" w:rsidRDefault="002627A0" w:rsidP="00D855E8">
            <w:pPr>
              <w:autoSpaceDE w:val="0"/>
              <w:autoSpaceDN w:val="0"/>
              <w:adjustRightInd w:val="0"/>
              <w:spacing w:line="360" w:lineRule="auto"/>
              <w:rPr>
                <w:rFonts w:cs="Arial"/>
              </w:rPr>
            </w:pPr>
            <w:r w:rsidRPr="00CC7752">
              <w:rPr>
                <w:rFonts w:cs="Arial"/>
              </w:rPr>
              <w:t xml:space="preserve">Car Parking – All locations </w:t>
            </w:r>
          </w:p>
        </w:tc>
        <w:tc>
          <w:tcPr>
            <w:tcW w:w="2409" w:type="dxa"/>
          </w:tcPr>
          <w:p w14:paraId="15C17EC0"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1,000</w:t>
            </w:r>
          </w:p>
        </w:tc>
        <w:tc>
          <w:tcPr>
            <w:tcW w:w="3261" w:type="dxa"/>
          </w:tcPr>
          <w:p w14:paraId="3B28460C" w14:textId="77777777" w:rsidR="002627A0" w:rsidRDefault="002627A0" w:rsidP="00D855E8">
            <w:pPr>
              <w:autoSpaceDE w:val="0"/>
              <w:autoSpaceDN w:val="0"/>
              <w:adjustRightInd w:val="0"/>
              <w:spacing w:line="360" w:lineRule="auto"/>
              <w:rPr>
                <w:rFonts w:cs="Arial"/>
              </w:rPr>
            </w:pPr>
            <w:r>
              <w:rPr>
                <w:rFonts w:cs="Arial"/>
              </w:rPr>
              <w:t>3 x contribution</w:t>
            </w:r>
          </w:p>
        </w:tc>
      </w:tr>
      <w:tr w:rsidR="002627A0" w:rsidRPr="00CC7752" w14:paraId="79D6E730" w14:textId="77777777" w:rsidTr="002627A0">
        <w:tc>
          <w:tcPr>
            <w:tcW w:w="4679" w:type="dxa"/>
          </w:tcPr>
          <w:p w14:paraId="03DC1FC4" w14:textId="77777777" w:rsidR="002627A0" w:rsidRPr="00D4168B" w:rsidRDefault="002627A0" w:rsidP="00D855E8">
            <w:pPr>
              <w:autoSpaceDE w:val="0"/>
              <w:autoSpaceDN w:val="0"/>
              <w:adjustRightInd w:val="0"/>
              <w:spacing w:line="360" w:lineRule="auto"/>
              <w:rPr>
                <w:rFonts w:cs="Arial"/>
              </w:rPr>
            </w:pPr>
            <w:r w:rsidRPr="00D4168B">
              <w:rPr>
                <w:rFonts w:cs="Arial"/>
              </w:rPr>
              <w:t>Power Transmission per pylon above 220kV.</w:t>
            </w:r>
          </w:p>
          <w:p w14:paraId="2EBB469F" w14:textId="77777777" w:rsidR="002627A0" w:rsidRPr="00D4168B" w:rsidRDefault="002627A0" w:rsidP="00D855E8">
            <w:pPr>
              <w:autoSpaceDE w:val="0"/>
              <w:autoSpaceDN w:val="0"/>
              <w:adjustRightInd w:val="0"/>
              <w:spacing w:line="360" w:lineRule="auto"/>
              <w:rPr>
                <w:rFonts w:cs="Arial"/>
              </w:rPr>
            </w:pPr>
            <w:r w:rsidRPr="00D4168B">
              <w:rPr>
                <w:rFonts w:cs="Arial"/>
              </w:rPr>
              <w:t>€10 per metre addition for the provision of overhead and/or underground distribution lines of electricity and/or telecommunications to grid connection.</w:t>
            </w:r>
          </w:p>
        </w:tc>
        <w:tc>
          <w:tcPr>
            <w:tcW w:w="2409" w:type="dxa"/>
          </w:tcPr>
          <w:p w14:paraId="4F352A95" w14:textId="77777777" w:rsidR="002627A0" w:rsidRPr="00CC7752" w:rsidRDefault="002627A0" w:rsidP="00D855E8">
            <w:pPr>
              <w:autoSpaceDE w:val="0"/>
              <w:autoSpaceDN w:val="0"/>
              <w:adjustRightInd w:val="0"/>
              <w:spacing w:line="360" w:lineRule="auto"/>
              <w:rPr>
                <w:rFonts w:cs="Arial"/>
              </w:rPr>
            </w:pPr>
            <w:r>
              <w:rPr>
                <w:rFonts w:cs="Arial"/>
              </w:rPr>
              <w:t>€2</w:t>
            </w:r>
            <w:r w:rsidRPr="00CC7752">
              <w:rPr>
                <w:rFonts w:cs="Arial"/>
              </w:rPr>
              <w:t>,000</w:t>
            </w:r>
          </w:p>
        </w:tc>
        <w:tc>
          <w:tcPr>
            <w:tcW w:w="3261" w:type="dxa"/>
          </w:tcPr>
          <w:p w14:paraId="45AF86E5" w14:textId="77777777" w:rsidR="002627A0" w:rsidRDefault="002627A0" w:rsidP="00D855E8">
            <w:pPr>
              <w:autoSpaceDE w:val="0"/>
              <w:autoSpaceDN w:val="0"/>
              <w:adjustRightInd w:val="0"/>
              <w:spacing w:line="360" w:lineRule="auto"/>
              <w:rPr>
                <w:rFonts w:cs="Arial"/>
              </w:rPr>
            </w:pPr>
            <w:r>
              <w:rPr>
                <w:rFonts w:cs="Arial"/>
              </w:rPr>
              <w:t>3 x area contribution</w:t>
            </w:r>
          </w:p>
        </w:tc>
      </w:tr>
      <w:tr w:rsidR="002627A0" w:rsidRPr="00CC7752" w14:paraId="24826083" w14:textId="77777777" w:rsidTr="002627A0">
        <w:tc>
          <w:tcPr>
            <w:tcW w:w="4679" w:type="dxa"/>
          </w:tcPr>
          <w:p w14:paraId="44702123" w14:textId="77777777" w:rsidR="002627A0" w:rsidRPr="00CC7752" w:rsidRDefault="002627A0" w:rsidP="00D855E8">
            <w:pPr>
              <w:autoSpaceDE w:val="0"/>
              <w:autoSpaceDN w:val="0"/>
              <w:adjustRightInd w:val="0"/>
              <w:spacing w:line="360" w:lineRule="auto"/>
              <w:rPr>
                <w:rFonts w:cs="Arial"/>
              </w:rPr>
            </w:pPr>
            <w:r w:rsidRPr="00CC7752">
              <w:rPr>
                <w:rFonts w:cs="Arial"/>
              </w:rPr>
              <w:t>Indoor Amusement Arcades, betting offic</w:t>
            </w:r>
            <w:r>
              <w:rPr>
                <w:rFonts w:cs="Arial"/>
              </w:rPr>
              <w:t>e</w:t>
            </w:r>
            <w:r w:rsidRPr="00CC7752">
              <w:rPr>
                <w:rFonts w:cs="Arial"/>
              </w:rPr>
              <w:t>s, casinos per m²</w:t>
            </w:r>
          </w:p>
        </w:tc>
        <w:tc>
          <w:tcPr>
            <w:tcW w:w="2409" w:type="dxa"/>
          </w:tcPr>
          <w:p w14:paraId="72E076EE" w14:textId="77777777" w:rsidR="002627A0" w:rsidRPr="00CC7752" w:rsidRDefault="002627A0" w:rsidP="00D855E8">
            <w:pPr>
              <w:autoSpaceDE w:val="0"/>
              <w:autoSpaceDN w:val="0"/>
              <w:adjustRightInd w:val="0"/>
              <w:spacing w:line="360" w:lineRule="auto"/>
              <w:rPr>
                <w:rFonts w:cs="Arial"/>
              </w:rPr>
            </w:pPr>
            <w:r>
              <w:rPr>
                <w:rFonts w:cs="Arial"/>
              </w:rPr>
              <w:t>€</w:t>
            </w:r>
            <w:r w:rsidRPr="00CC7752">
              <w:rPr>
                <w:rFonts w:cs="Arial"/>
              </w:rPr>
              <w:t>2</w:t>
            </w:r>
            <w:r>
              <w:rPr>
                <w:rFonts w:cs="Arial"/>
              </w:rPr>
              <w:t>0 per m²</w:t>
            </w:r>
          </w:p>
        </w:tc>
        <w:tc>
          <w:tcPr>
            <w:tcW w:w="3261" w:type="dxa"/>
          </w:tcPr>
          <w:p w14:paraId="283F6E97" w14:textId="77777777" w:rsidR="002627A0" w:rsidRDefault="002627A0" w:rsidP="00D855E8">
            <w:pPr>
              <w:autoSpaceDE w:val="0"/>
              <w:autoSpaceDN w:val="0"/>
              <w:adjustRightInd w:val="0"/>
              <w:spacing w:line="360" w:lineRule="auto"/>
              <w:rPr>
                <w:rFonts w:cs="Arial"/>
              </w:rPr>
            </w:pPr>
            <w:r>
              <w:rPr>
                <w:rFonts w:cs="Arial"/>
              </w:rPr>
              <w:t>3 x floor space contribution</w:t>
            </w:r>
          </w:p>
        </w:tc>
      </w:tr>
    </w:tbl>
    <w:p w14:paraId="015FBDC2" w14:textId="77777777" w:rsidR="00AF5D83" w:rsidRDefault="00AF5D83" w:rsidP="00C4454A">
      <w:pPr>
        <w:spacing w:after="0" w:line="360" w:lineRule="auto"/>
        <w:rPr>
          <w:rFonts w:ascii="Arial" w:hAnsi="Arial" w:cs="Arial"/>
          <w:b/>
          <w:color w:val="A02B93" w:themeColor="accent5"/>
        </w:rPr>
      </w:pPr>
    </w:p>
    <w:p w14:paraId="7187215D" w14:textId="77777777" w:rsidR="00AF5D83" w:rsidRDefault="00AF5D83" w:rsidP="00C4454A">
      <w:pPr>
        <w:spacing w:after="0" w:line="360" w:lineRule="auto"/>
        <w:rPr>
          <w:rFonts w:ascii="Arial" w:hAnsi="Arial" w:cs="Arial"/>
          <w:b/>
          <w:color w:val="A02B93" w:themeColor="accent5"/>
        </w:rPr>
      </w:pPr>
    </w:p>
    <w:p w14:paraId="77CEE462" w14:textId="77777777" w:rsidR="00AF5D83" w:rsidRDefault="00AF5D83" w:rsidP="00C4454A">
      <w:pPr>
        <w:spacing w:after="0" w:line="360" w:lineRule="auto"/>
        <w:rPr>
          <w:rFonts w:ascii="Arial" w:hAnsi="Arial" w:cs="Arial"/>
          <w:b/>
          <w:color w:val="A02B93" w:themeColor="accent5"/>
        </w:rPr>
      </w:pPr>
    </w:p>
    <w:p w14:paraId="1432D847" w14:textId="6817E591" w:rsidR="00375C54" w:rsidRPr="00BD0F47" w:rsidRDefault="00375C54" w:rsidP="00C4454A">
      <w:pPr>
        <w:spacing w:after="0" w:line="360" w:lineRule="auto"/>
        <w:rPr>
          <w:rFonts w:ascii="Arial" w:hAnsi="Arial" w:cs="Arial"/>
          <w:b/>
          <w:color w:val="A02B93" w:themeColor="accent5"/>
        </w:rPr>
      </w:pPr>
      <w:r w:rsidRPr="00BD0F47">
        <w:rPr>
          <w:rFonts w:ascii="Arial" w:hAnsi="Arial" w:cs="Arial"/>
          <w:b/>
          <w:color w:val="A02B93" w:themeColor="accent5"/>
        </w:rPr>
        <w:lastRenderedPageBreak/>
        <w:t>Exemptions</w:t>
      </w:r>
    </w:p>
    <w:p w14:paraId="78C805C0" w14:textId="579F706E" w:rsidR="00375C54" w:rsidRPr="00F561F4" w:rsidRDefault="00375C54" w:rsidP="00C4454A">
      <w:pPr>
        <w:pStyle w:val="ListParagraph"/>
        <w:spacing w:line="360" w:lineRule="auto"/>
        <w:ind w:left="0"/>
        <w:rPr>
          <w:rFonts w:ascii="Arial" w:hAnsi="Arial" w:cs="Arial"/>
        </w:rPr>
      </w:pPr>
      <w:r w:rsidRPr="00F561F4">
        <w:rPr>
          <w:rFonts w:ascii="Arial" w:hAnsi="Arial" w:cs="Arial"/>
        </w:rPr>
        <w:t>No exemptions</w:t>
      </w:r>
      <w:r w:rsidRPr="00F561F4">
        <w:rPr>
          <w:rFonts w:ascii="Arial" w:hAnsi="Arial" w:cs="Arial"/>
          <w:b/>
        </w:rPr>
        <w:t xml:space="preserve"> </w:t>
      </w:r>
      <w:r w:rsidRPr="00F561F4">
        <w:rPr>
          <w:rFonts w:ascii="Arial" w:hAnsi="Arial" w:cs="Arial"/>
        </w:rPr>
        <w:t>shall apply to any applications for retention of development.</w:t>
      </w:r>
    </w:p>
    <w:p w14:paraId="66C6727E" w14:textId="77777777" w:rsidR="00375C54" w:rsidRPr="00F561F4" w:rsidRDefault="00375C54" w:rsidP="00C4454A">
      <w:pPr>
        <w:autoSpaceDE w:val="0"/>
        <w:autoSpaceDN w:val="0"/>
        <w:adjustRightInd w:val="0"/>
        <w:spacing w:line="360" w:lineRule="auto"/>
        <w:rPr>
          <w:rFonts w:ascii="Arial" w:hAnsi="Arial" w:cs="Arial"/>
          <w:b/>
        </w:rPr>
      </w:pPr>
      <w:r w:rsidRPr="00F561F4">
        <w:rPr>
          <w:rFonts w:ascii="Arial" w:hAnsi="Arial" w:cs="Arial"/>
        </w:rPr>
        <w:t>The following categories of development will be exempted, or partly exempted, from the requirement to pay development contributions under the 202</w:t>
      </w:r>
      <w:r>
        <w:rPr>
          <w:rFonts w:ascii="Arial" w:hAnsi="Arial" w:cs="Arial"/>
        </w:rPr>
        <w:t>6</w:t>
      </w:r>
      <w:r w:rsidRPr="00F561F4">
        <w:rPr>
          <w:rFonts w:ascii="Arial" w:hAnsi="Arial" w:cs="Arial"/>
        </w:rPr>
        <w:t xml:space="preserve"> Scheme:</w:t>
      </w:r>
    </w:p>
    <w:p w14:paraId="4CF32CAE" w14:textId="5DDD8BCE" w:rsidR="00BD0F47" w:rsidRPr="00196FF5" w:rsidRDefault="00375C54" w:rsidP="00196FF5">
      <w:pPr>
        <w:pStyle w:val="ListParagraph"/>
        <w:numPr>
          <w:ilvl w:val="0"/>
          <w:numId w:val="8"/>
        </w:numPr>
        <w:tabs>
          <w:tab w:val="num" w:pos="1800"/>
        </w:tabs>
        <w:spacing w:line="360" w:lineRule="auto"/>
        <w:rPr>
          <w:rFonts w:ascii="Arial" w:hAnsi="Arial" w:cs="Arial"/>
        </w:rPr>
      </w:pPr>
      <w:r w:rsidRPr="00196FF5">
        <w:rPr>
          <w:rFonts w:ascii="Arial" w:hAnsi="Arial" w:cs="Arial"/>
        </w:rPr>
        <w:t>when a planning application consists of or comprises development, which in the opinion of the Planning Authority, is development proposed to be carried out by, or on behalf of, a voluntary organisation, and which in the opinion of the Planning Authority</w:t>
      </w:r>
      <w:r w:rsidR="00BD0F47" w:rsidRPr="00196FF5">
        <w:rPr>
          <w:rFonts w:ascii="Arial" w:hAnsi="Arial" w:cs="Arial"/>
        </w:rPr>
        <w:t>-</w:t>
      </w:r>
    </w:p>
    <w:p w14:paraId="078C255E" w14:textId="4A16B477" w:rsidR="00375C54" w:rsidRPr="00F561F4" w:rsidRDefault="00375C54" w:rsidP="00196FF5">
      <w:pPr>
        <w:tabs>
          <w:tab w:val="num" w:pos="1800"/>
        </w:tabs>
        <w:spacing w:line="360" w:lineRule="auto"/>
        <w:ind w:left="1800"/>
        <w:jc w:val="both"/>
        <w:rPr>
          <w:rFonts w:ascii="Arial" w:hAnsi="Arial" w:cs="Arial"/>
        </w:rPr>
      </w:pPr>
      <w:r w:rsidRPr="00F561F4">
        <w:rPr>
          <w:rFonts w:ascii="Arial" w:hAnsi="Arial" w:cs="Arial"/>
        </w:rPr>
        <w:t>(a) is designed or intended to be used for social, community, sports, childcare, Recreation, educational or religious purposes by the inhabitants of a locality, or by people of a particular group or religious denomination, and is not to be used mainly for profit of gain, and or</w:t>
      </w:r>
    </w:p>
    <w:p w14:paraId="2682335C" w14:textId="2C066BEB" w:rsidR="00375C54" w:rsidRPr="00F561F4" w:rsidRDefault="00196FF5" w:rsidP="00196FF5">
      <w:pPr>
        <w:tabs>
          <w:tab w:val="num" w:pos="1800"/>
        </w:tabs>
        <w:spacing w:line="360" w:lineRule="auto"/>
        <w:ind w:left="1800" w:hanging="426"/>
        <w:jc w:val="both"/>
        <w:rPr>
          <w:rFonts w:ascii="Arial" w:hAnsi="Arial" w:cs="Arial"/>
          <w:b/>
        </w:rPr>
      </w:pPr>
      <w:r>
        <w:rPr>
          <w:rFonts w:ascii="Arial" w:hAnsi="Arial" w:cs="Arial"/>
        </w:rPr>
        <w:tab/>
      </w:r>
      <w:r w:rsidR="00375C54" w:rsidRPr="00F561F4">
        <w:rPr>
          <w:rFonts w:ascii="Arial" w:hAnsi="Arial" w:cs="Arial"/>
        </w:rPr>
        <w:t>(b) is designed or intended to be used as a workshop, training facility, hostel (non-tourist)</w:t>
      </w:r>
      <w:r w:rsidR="00375C54">
        <w:rPr>
          <w:rFonts w:ascii="Arial" w:hAnsi="Arial" w:cs="Arial"/>
        </w:rPr>
        <w:t xml:space="preserve"> </w:t>
      </w:r>
      <w:r w:rsidR="00375C54" w:rsidRPr="00F561F4">
        <w:rPr>
          <w:rFonts w:ascii="Arial" w:hAnsi="Arial" w:cs="Arial"/>
        </w:rPr>
        <w:t>or other accommodation for persons with disabilities and is not to be used.</w:t>
      </w:r>
      <w:r w:rsidR="00375C54">
        <w:rPr>
          <w:rFonts w:ascii="Arial" w:hAnsi="Arial" w:cs="Arial"/>
        </w:rPr>
        <w:t xml:space="preserve"> </w:t>
      </w:r>
      <w:r w:rsidR="00375C54" w:rsidRPr="00F561F4">
        <w:rPr>
          <w:rFonts w:ascii="Arial" w:hAnsi="Arial" w:cs="Arial"/>
        </w:rPr>
        <w:t xml:space="preserve">mainly for profit or gain, </w:t>
      </w:r>
      <w:r w:rsidR="00375C54" w:rsidRPr="00F561F4">
        <w:rPr>
          <w:rFonts w:ascii="Arial" w:hAnsi="Arial" w:cs="Arial"/>
          <w:b/>
        </w:rPr>
        <w:t xml:space="preserve">or </w:t>
      </w:r>
    </w:p>
    <w:p w14:paraId="6BF90A57" w14:textId="6E3C5DDE" w:rsidR="00375C54" w:rsidRDefault="00375C54" w:rsidP="00A87551">
      <w:pPr>
        <w:spacing w:after="0" w:line="360" w:lineRule="auto"/>
        <w:ind w:left="1080" w:firstLine="720"/>
        <w:jc w:val="both"/>
        <w:rPr>
          <w:rFonts w:ascii="Arial" w:hAnsi="Arial" w:cs="Arial"/>
        </w:rPr>
      </w:pPr>
      <w:r w:rsidRPr="00F561F4">
        <w:rPr>
          <w:rFonts w:ascii="Arial" w:hAnsi="Arial" w:cs="Arial"/>
        </w:rPr>
        <w:t>is ancillary to development referred to in paragraph (a) or (b)</w:t>
      </w:r>
    </w:p>
    <w:p w14:paraId="4C0E951B" w14:textId="77777777" w:rsidR="00375C54" w:rsidRPr="00F561F4" w:rsidRDefault="00375C54" w:rsidP="00A87551">
      <w:pPr>
        <w:spacing w:line="360" w:lineRule="auto"/>
        <w:ind w:left="1080" w:firstLine="720"/>
        <w:jc w:val="both"/>
        <w:rPr>
          <w:rFonts w:ascii="Arial" w:hAnsi="Arial" w:cs="Arial"/>
        </w:rPr>
      </w:pPr>
      <w:r w:rsidRPr="00F561F4">
        <w:rPr>
          <w:rFonts w:ascii="Arial" w:hAnsi="Arial" w:cs="Arial"/>
        </w:rPr>
        <w:t>such developments shall be exempt from Planning Contributions.</w:t>
      </w:r>
    </w:p>
    <w:p w14:paraId="174AF088" w14:textId="77777777" w:rsidR="00375C54" w:rsidRPr="00A87551" w:rsidRDefault="00375C54" w:rsidP="00A87551">
      <w:pPr>
        <w:pStyle w:val="ListParagraph"/>
        <w:numPr>
          <w:ilvl w:val="0"/>
          <w:numId w:val="8"/>
        </w:numPr>
        <w:tabs>
          <w:tab w:val="num" w:pos="1800"/>
        </w:tabs>
        <w:spacing w:line="360" w:lineRule="auto"/>
        <w:jc w:val="both"/>
        <w:rPr>
          <w:rFonts w:ascii="Arial" w:hAnsi="Arial" w:cs="Arial"/>
        </w:rPr>
      </w:pPr>
      <w:r w:rsidRPr="00A87551">
        <w:rPr>
          <w:rFonts w:ascii="Arial" w:hAnsi="Arial" w:cs="Arial"/>
        </w:rPr>
        <w:t>The provision of Social Housing units, including those which are provided in accordance with an agreement made under Part V of the Planning and Development Act 2000 (as amended), or which are provided by a voluntary or co-operative housing association which is recognised as such by the Planning Authority shall be exempt from the payment of planning contributions.</w:t>
      </w:r>
    </w:p>
    <w:p w14:paraId="106FF2E4" w14:textId="77777777" w:rsidR="00375C54" w:rsidRPr="00A87551" w:rsidRDefault="00375C54" w:rsidP="00A87551">
      <w:pPr>
        <w:pStyle w:val="ListParagraph"/>
        <w:numPr>
          <w:ilvl w:val="0"/>
          <w:numId w:val="8"/>
        </w:numPr>
        <w:tabs>
          <w:tab w:val="num" w:pos="1800"/>
        </w:tabs>
        <w:spacing w:line="360" w:lineRule="auto"/>
        <w:jc w:val="both"/>
        <w:rPr>
          <w:rFonts w:ascii="Arial" w:hAnsi="Arial" w:cs="Arial"/>
        </w:rPr>
      </w:pPr>
      <w:r w:rsidRPr="00A87551">
        <w:rPr>
          <w:rFonts w:ascii="Arial" w:hAnsi="Arial" w:cs="Arial"/>
        </w:rPr>
        <w:t>Units supplied under a Payment and Availability agreement (P&amp;A Agreement) will also qualify for an exemption from development contributions provided the term of the agreement is 30 years or longer.</w:t>
      </w:r>
    </w:p>
    <w:p w14:paraId="0DD590AA" w14:textId="77777777" w:rsidR="00375C54" w:rsidRPr="00A87551" w:rsidRDefault="00375C54" w:rsidP="00A87551">
      <w:pPr>
        <w:pStyle w:val="ListParagraph"/>
        <w:numPr>
          <w:ilvl w:val="0"/>
          <w:numId w:val="8"/>
        </w:numPr>
        <w:tabs>
          <w:tab w:val="num" w:pos="1800"/>
        </w:tabs>
        <w:spacing w:line="360" w:lineRule="auto"/>
        <w:jc w:val="both"/>
        <w:rPr>
          <w:rFonts w:ascii="Arial" w:hAnsi="Arial" w:cs="Arial"/>
        </w:rPr>
      </w:pPr>
      <w:r w:rsidRPr="00A87551">
        <w:rPr>
          <w:rFonts w:ascii="Arial" w:hAnsi="Arial" w:cs="Arial"/>
        </w:rPr>
        <w:t xml:space="preserve">Development contributions shall be assessed on a case-by-case basis in respect of developments carried out by of partnership arrangement pursuant to Section 179 of the Planning Development Act 2000 (as amended). </w:t>
      </w:r>
    </w:p>
    <w:p w14:paraId="551B7AAF" w14:textId="77777777" w:rsidR="00375C54" w:rsidRPr="0022626A" w:rsidRDefault="00375C54" w:rsidP="00C4454A">
      <w:pPr>
        <w:tabs>
          <w:tab w:val="num" w:pos="1800"/>
        </w:tabs>
        <w:spacing w:line="360" w:lineRule="auto"/>
        <w:jc w:val="both"/>
        <w:rPr>
          <w:rFonts w:ascii="Arial" w:hAnsi="Arial" w:cs="Arial"/>
        </w:rPr>
      </w:pPr>
    </w:p>
    <w:p w14:paraId="11DEE6E2" w14:textId="26051663" w:rsidR="00375C54" w:rsidRPr="00A87551" w:rsidRDefault="00375C54" w:rsidP="00C4454A">
      <w:pPr>
        <w:pStyle w:val="ListParagraph"/>
        <w:numPr>
          <w:ilvl w:val="0"/>
          <w:numId w:val="6"/>
        </w:numPr>
        <w:tabs>
          <w:tab w:val="num" w:pos="1800"/>
        </w:tabs>
        <w:spacing w:after="0" w:line="360" w:lineRule="auto"/>
        <w:jc w:val="both"/>
        <w:rPr>
          <w:rFonts w:ascii="Arial" w:hAnsi="Arial" w:cs="Arial"/>
        </w:rPr>
      </w:pPr>
      <w:r w:rsidRPr="00A87551">
        <w:rPr>
          <w:rFonts w:ascii="Arial" w:hAnsi="Arial" w:cs="Arial"/>
        </w:rPr>
        <w:lastRenderedPageBreak/>
        <w:t>On submission of</w:t>
      </w:r>
      <w:r w:rsidRPr="00A87551">
        <w:rPr>
          <w:rFonts w:ascii="Arial" w:hAnsi="Arial" w:cs="Arial"/>
          <w:b/>
        </w:rPr>
        <w:t xml:space="preserve"> </w:t>
      </w:r>
      <w:r w:rsidRPr="00A87551">
        <w:rPr>
          <w:rFonts w:ascii="Arial" w:hAnsi="Arial" w:cs="Arial"/>
        </w:rPr>
        <w:t>appropriate documentary evidence from the Department of Agriculture, development levies will not apply in respect of agricultural development that</w:t>
      </w:r>
      <w:r w:rsidR="00A87551" w:rsidRPr="00A87551">
        <w:rPr>
          <w:rFonts w:ascii="Arial" w:hAnsi="Arial" w:cs="Arial"/>
        </w:rPr>
        <w:t xml:space="preserve"> </w:t>
      </w:r>
      <w:r w:rsidRPr="00A87551">
        <w:rPr>
          <w:rFonts w:ascii="Arial" w:hAnsi="Arial" w:cs="Arial"/>
        </w:rPr>
        <w:t>provide for the development of glasshouses or polytunnels.</w:t>
      </w:r>
    </w:p>
    <w:p w14:paraId="14FA12BC" w14:textId="35DF6417" w:rsidR="00375C54" w:rsidRPr="00A87551" w:rsidRDefault="00375C54" w:rsidP="00A87551">
      <w:pPr>
        <w:pStyle w:val="ListParagraph"/>
        <w:numPr>
          <w:ilvl w:val="0"/>
          <w:numId w:val="9"/>
        </w:numPr>
        <w:spacing w:line="360" w:lineRule="auto"/>
        <w:jc w:val="both"/>
        <w:rPr>
          <w:rFonts w:ascii="Arial" w:hAnsi="Arial" w:cs="Arial"/>
        </w:rPr>
      </w:pPr>
      <w:r w:rsidRPr="00A87551">
        <w:rPr>
          <w:rFonts w:ascii="Arial" w:hAnsi="Arial" w:cs="Arial"/>
        </w:rPr>
        <w:t>The development of Primary and Secondary schools, Post Secondary, Third Level Colleges and/or facilities will not attract development charges.</w:t>
      </w:r>
    </w:p>
    <w:p w14:paraId="12C1FFF2" w14:textId="77777777" w:rsidR="00375C54" w:rsidRPr="00A87551" w:rsidRDefault="00375C54" w:rsidP="00A87551">
      <w:pPr>
        <w:pStyle w:val="ListParagraph"/>
        <w:numPr>
          <w:ilvl w:val="0"/>
          <w:numId w:val="9"/>
        </w:numPr>
        <w:spacing w:line="360" w:lineRule="auto"/>
        <w:jc w:val="both"/>
        <w:rPr>
          <w:rFonts w:ascii="Arial" w:hAnsi="Arial" w:cs="Arial"/>
        </w:rPr>
      </w:pPr>
      <w:r w:rsidRPr="00A87551">
        <w:rPr>
          <w:rFonts w:ascii="Arial" w:hAnsi="Arial" w:cs="Arial"/>
        </w:rPr>
        <w:t>Development for which a disabled person’s grant is being paid will not attract development charges.</w:t>
      </w:r>
    </w:p>
    <w:p w14:paraId="7648F2CE" w14:textId="77777777" w:rsidR="00375C54" w:rsidRPr="00A87551" w:rsidRDefault="00375C54" w:rsidP="00A87551">
      <w:pPr>
        <w:pStyle w:val="ListParagraph"/>
        <w:numPr>
          <w:ilvl w:val="0"/>
          <w:numId w:val="9"/>
        </w:numPr>
        <w:spacing w:line="360" w:lineRule="auto"/>
        <w:rPr>
          <w:rFonts w:ascii="Arial" w:hAnsi="Arial" w:cs="Arial"/>
        </w:rPr>
      </w:pPr>
      <w:r w:rsidRPr="00A87551">
        <w:rPr>
          <w:rFonts w:ascii="Arial" w:hAnsi="Arial" w:cs="Arial"/>
        </w:rPr>
        <w:t xml:space="preserve">Development charges will be exempt on developments restoring buildings which are listed on the Register of Protected Structures. Normal contributions will apply to extensions and new construction within the curtilage of the Protected Structure. </w:t>
      </w:r>
    </w:p>
    <w:p w14:paraId="6797CA3C" w14:textId="77777777" w:rsidR="00375C54" w:rsidRPr="008B5D48" w:rsidRDefault="00375C54" w:rsidP="008B5D48">
      <w:pPr>
        <w:pStyle w:val="ListParagraph"/>
        <w:numPr>
          <w:ilvl w:val="0"/>
          <w:numId w:val="9"/>
        </w:numPr>
        <w:spacing w:line="360" w:lineRule="auto"/>
        <w:jc w:val="both"/>
        <w:rPr>
          <w:rFonts w:ascii="Arial" w:hAnsi="Arial" w:cs="Arial"/>
        </w:rPr>
      </w:pPr>
      <w:r w:rsidRPr="008B5D48">
        <w:rPr>
          <w:rFonts w:ascii="Arial" w:hAnsi="Arial" w:cs="Arial"/>
        </w:rPr>
        <w:t>Clean Filling e.g., topsoils and clays.</w:t>
      </w:r>
      <w:r w:rsidRPr="008B5D48">
        <w:rPr>
          <w:rFonts w:ascii="Arial" w:hAnsi="Arial" w:cs="Arial"/>
          <w:b/>
        </w:rPr>
        <w:t xml:space="preserve"> </w:t>
      </w:r>
      <w:r w:rsidRPr="008B5D48">
        <w:rPr>
          <w:rFonts w:ascii="Arial" w:hAnsi="Arial" w:cs="Arial"/>
        </w:rPr>
        <w:t xml:space="preserve">It is proposed not to charge contributions. The exemption is provided to promote development as such fill applications often relate to clean waste from site development works. It is also noted that many of these types of developments can be exempt from planning control when restoring land or bringing into agricultural use. </w:t>
      </w:r>
    </w:p>
    <w:p w14:paraId="504D45D9" w14:textId="77777777" w:rsidR="00375C54" w:rsidRPr="008B5D48" w:rsidRDefault="00375C54" w:rsidP="008B5D48">
      <w:pPr>
        <w:pStyle w:val="ListParagraph"/>
        <w:numPr>
          <w:ilvl w:val="0"/>
          <w:numId w:val="9"/>
        </w:numPr>
        <w:spacing w:line="360" w:lineRule="auto"/>
        <w:jc w:val="both"/>
        <w:rPr>
          <w:rFonts w:ascii="Arial" w:hAnsi="Arial" w:cs="Arial"/>
        </w:rPr>
      </w:pPr>
      <w:r w:rsidRPr="008B5D48">
        <w:rPr>
          <w:rFonts w:ascii="Arial" w:hAnsi="Arial" w:cs="Arial"/>
        </w:rPr>
        <w:t>Non-commercial graveyards will not attract development charges.</w:t>
      </w:r>
    </w:p>
    <w:p w14:paraId="48BC3BF8" w14:textId="77777777" w:rsidR="00375C54" w:rsidRPr="008B5D48" w:rsidRDefault="00375C54" w:rsidP="008B5D48">
      <w:pPr>
        <w:pStyle w:val="ListParagraph"/>
        <w:numPr>
          <w:ilvl w:val="0"/>
          <w:numId w:val="9"/>
        </w:numPr>
        <w:spacing w:line="360" w:lineRule="auto"/>
        <w:jc w:val="both"/>
        <w:rPr>
          <w:rFonts w:ascii="Arial" w:hAnsi="Arial" w:cs="Arial"/>
        </w:rPr>
      </w:pPr>
      <w:r w:rsidRPr="008B5D48">
        <w:rPr>
          <w:rFonts w:ascii="Arial" w:hAnsi="Arial" w:cs="Arial"/>
          <w:iCs/>
        </w:rPr>
        <w:t>Development charges will be exempt on any technical telecommunications infrastructure, both mobile and broadband (e.g., masts, substations, power connections and security fencing).</w:t>
      </w:r>
    </w:p>
    <w:p w14:paraId="00E20F9B" w14:textId="77777777" w:rsidR="00375C54" w:rsidRPr="008B5D48" w:rsidRDefault="00375C54" w:rsidP="008B5D48">
      <w:pPr>
        <w:pStyle w:val="ListParagraph"/>
        <w:numPr>
          <w:ilvl w:val="0"/>
          <w:numId w:val="9"/>
        </w:numPr>
        <w:spacing w:line="360" w:lineRule="auto"/>
        <w:jc w:val="both"/>
        <w:rPr>
          <w:rFonts w:ascii="Arial" w:hAnsi="Arial" w:cs="Arial"/>
        </w:rPr>
      </w:pPr>
      <w:r w:rsidRPr="008B5D48">
        <w:rPr>
          <w:rFonts w:ascii="Arial" w:hAnsi="Arial" w:cs="Arial"/>
        </w:rPr>
        <w:t>Exemption for public transport infrastructure (bus depot, ports, stations etc.)</w:t>
      </w:r>
    </w:p>
    <w:p w14:paraId="117E6D26" w14:textId="77777777" w:rsidR="00375C54" w:rsidRPr="008B5D48" w:rsidRDefault="00375C54" w:rsidP="008B5D48">
      <w:pPr>
        <w:pStyle w:val="ListParagraph"/>
        <w:numPr>
          <w:ilvl w:val="0"/>
          <w:numId w:val="9"/>
        </w:numPr>
        <w:spacing w:line="360" w:lineRule="auto"/>
        <w:jc w:val="both"/>
        <w:rPr>
          <w:rFonts w:ascii="Arial" w:hAnsi="Arial" w:cs="Arial"/>
        </w:rPr>
      </w:pPr>
      <w:r w:rsidRPr="008B5D48">
        <w:rPr>
          <w:rFonts w:ascii="Arial" w:hAnsi="Arial" w:cs="Arial"/>
        </w:rPr>
        <w:t>Exemption for smaller scale renewable projects less than 1 MW</w:t>
      </w:r>
    </w:p>
    <w:p w14:paraId="110DE701" w14:textId="77777777" w:rsidR="00375C54" w:rsidRDefault="00375C54" w:rsidP="00C4454A">
      <w:pPr>
        <w:spacing w:after="0" w:line="360" w:lineRule="auto"/>
        <w:jc w:val="both"/>
        <w:rPr>
          <w:rFonts w:ascii="Arial" w:hAnsi="Arial" w:cs="Arial"/>
          <w:b/>
          <w:color w:val="A02B93" w:themeColor="accent5"/>
        </w:rPr>
      </w:pPr>
      <w:r w:rsidRPr="00894FB2">
        <w:rPr>
          <w:rFonts w:ascii="Arial" w:hAnsi="Arial" w:cs="Arial"/>
          <w:b/>
          <w:color w:val="A02B93" w:themeColor="accent5"/>
        </w:rPr>
        <w:t>Incentives (Discounting /Credit)</w:t>
      </w:r>
    </w:p>
    <w:p w14:paraId="5926EAE5" w14:textId="65E4BAC2" w:rsidR="00375C54" w:rsidRPr="0022626A" w:rsidRDefault="00375C54" w:rsidP="00C4454A">
      <w:pPr>
        <w:pStyle w:val="ListParagraph"/>
        <w:spacing w:line="360" w:lineRule="auto"/>
        <w:ind w:left="0"/>
        <w:jc w:val="both"/>
        <w:rPr>
          <w:rFonts w:ascii="Arial" w:hAnsi="Arial" w:cs="Arial"/>
        </w:rPr>
      </w:pPr>
      <w:r w:rsidRPr="0022626A">
        <w:rPr>
          <w:rFonts w:ascii="Arial" w:hAnsi="Arial" w:cs="Arial"/>
        </w:rPr>
        <w:t>No incentives shall apply to any applications for retention of development.</w:t>
      </w:r>
    </w:p>
    <w:p w14:paraId="4DA2C967" w14:textId="77777777" w:rsidR="00375C54" w:rsidRPr="0022626A" w:rsidRDefault="00375C54" w:rsidP="00C4454A">
      <w:pPr>
        <w:spacing w:line="360" w:lineRule="auto"/>
        <w:jc w:val="both"/>
        <w:rPr>
          <w:rFonts w:ascii="Arial" w:hAnsi="Arial" w:cs="Arial"/>
        </w:rPr>
      </w:pPr>
      <w:r w:rsidRPr="0022626A">
        <w:rPr>
          <w:rFonts w:ascii="Arial" w:hAnsi="Arial" w:cs="Arial"/>
        </w:rPr>
        <w:t>Where a habitable house on site is being demolished, or has been destroyed by fire or flood, credit will be given against contributions due for the area (sq. m.) of the demolished dwelling in the event of the replacement of the former structure. Evidence to be provided of utility bills to confirm the dwelling has been in continuous use and to confirm the floor area of the existing dwelling.</w:t>
      </w:r>
    </w:p>
    <w:p w14:paraId="42BB3C63" w14:textId="77777777" w:rsidR="00375C54" w:rsidRPr="0022626A" w:rsidRDefault="00375C54" w:rsidP="00C4454A">
      <w:pPr>
        <w:spacing w:line="360" w:lineRule="auto"/>
        <w:jc w:val="both"/>
        <w:rPr>
          <w:rFonts w:ascii="Arial" w:hAnsi="Arial" w:cs="Arial"/>
        </w:rPr>
      </w:pPr>
      <w:r w:rsidRPr="0022626A">
        <w:rPr>
          <w:rFonts w:ascii="Arial" w:hAnsi="Arial" w:cs="Arial"/>
        </w:rPr>
        <w:t>Reduced rates for temporary permissions, other than quarries, shall apply to be calculated as follows:</w:t>
      </w:r>
    </w:p>
    <w:p w14:paraId="764E4AD0" w14:textId="77777777" w:rsidR="00375C54" w:rsidRPr="0022626A" w:rsidRDefault="00375C54" w:rsidP="00C4454A">
      <w:pPr>
        <w:numPr>
          <w:ilvl w:val="0"/>
          <w:numId w:val="7"/>
        </w:numPr>
        <w:spacing w:after="0" w:line="360" w:lineRule="auto"/>
        <w:jc w:val="both"/>
        <w:rPr>
          <w:rFonts w:ascii="Arial" w:hAnsi="Arial" w:cs="Arial"/>
        </w:rPr>
      </w:pPr>
      <w:r w:rsidRPr="0022626A">
        <w:rPr>
          <w:rFonts w:ascii="Arial" w:hAnsi="Arial" w:cs="Arial"/>
        </w:rPr>
        <w:lastRenderedPageBreak/>
        <w:t xml:space="preserve">33% of normal rate for permission of up to 3 years </w:t>
      </w:r>
    </w:p>
    <w:p w14:paraId="34990620" w14:textId="77777777" w:rsidR="00375C54" w:rsidRPr="0022626A" w:rsidRDefault="00375C54" w:rsidP="00C4454A">
      <w:pPr>
        <w:numPr>
          <w:ilvl w:val="0"/>
          <w:numId w:val="7"/>
        </w:numPr>
        <w:spacing w:after="0" w:line="360" w:lineRule="auto"/>
        <w:jc w:val="both"/>
        <w:rPr>
          <w:rFonts w:ascii="Arial" w:hAnsi="Arial" w:cs="Arial"/>
        </w:rPr>
      </w:pPr>
      <w:r w:rsidRPr="0022626A">
        <w:rPr>
          <w:rFonts w:ascii="Arial" w:hAnsi="Arial" w:cs="Arial"/>
        </w:rPr>
        <w:t>50% of normal rate for permission of up to 5 years</w:t>
      </w:r>
    </w:p>
    <w:p w14:paraId="6D8CB724" w14:textId="77777777" w:rsidR="00375C54" w:rsidRDefault="00375C54" w:rsidP="00C4454A">
      <w:pPr>
        <w:numPr>
          <w:ilvl w:val="0"/>
          <w:numId w:val="7"/>
        </w:numPr>
        <w:spacing w:after="0" w:line="360" w:lineRule="auto"/>
        <w:jc w:val="both"/>
        <w:rPr>
          <w:rFonts w:ascii="Arial" w:hAnsi="Arial" w:cs="Arial"/>
        </w:rPr>
      </w:pPr>
      <w:r w:rsidRPr="0022626A">
        <w:rPr>
          <w:rFonts w:ascii="Arial" w:hAnsi="Arial" w:cs="Arial"/>
        </w:rPr>
        <w:t>66% of normal rate for permission of up to 10 years</w:t>
      </w:r>
    </w:p>
    <w:p w14:paraId="2FB4BB5B" w14:textId="77777777" w:rsidR="00894FB2" w:rsidRPr="0022626A" w:rsidRDefault="00894FB2" w:rsidP="00C4454A">
      <w:pPr>
        <w:spacing w:after="0" w:line="360" w:lineRule="auto"/>
        <w:ind w:left="720"/>
        <w:jc w:val="both"/>
        <w:rPr>
          <w:rFonts w:ascii="Arial" w:hAnsi="Arial" w:cs="Arial"/>
        </w:rPr>
      </w:pPr>
    </w:p>
    <w:p w14:paraId="7F88E846" w14:textId="2ACCADDE" w:rsidR="00375C54" w:rsidRPr="0022626A" w:rsidRDefault="00375C54" w:rsidP="00C4454A">
      <w:pPr>
        <w:spacing w:line="360" w:lineRule="auto"/>
        <w:jc w:val="both"/>
        <w:rPr>
          <w:rFonts w:ascii="Arial" w:hAnsi="Arial" w:cs="Arial"/>
        </w:rPr>
      </w:pPr>
      <w:r w:rsidRPr="0022626A">
        <w:rPr>
          <w:rFonts w:ascii="Arial" w:hAnsi="Arial" w:cs="Arial"/>
        </w:rPr>
        <w:t>Reduction in levies may be applied to projects/businesses in receipt of grant aid or support from IDA/Enterprise Ireland or Local Enterprise Office or projects that support the Government Jobs initiative or to the provision of Broadband masts or infrastructure. This deduction would be determined in consultation with the Chief Executive or appropriate Director.  Reduction in levies may also be applied for any developments associated with the provision of infrastructure /</w:t>
      </w:r>
      <w:r>
        <w:rPr>
          <w:rFonts w:ascii="Arial" w:hAnsi="Arial" w:cs="Arial"/>
        </w:rPr>
        <w:t xml:space="preserve"> property solutions</w:t>
      </w:r>
      <w:r w:rsidRPr="0022626A">
        <w:rPr>
          <w:rFonts w:ascii="Arial" w:hAnsi="Arial" w:cs="Arial"/>
        </w:rPr>
        <w:t xml:space="preserve"> for </w:t>
      </w:r>
      <w:r>
        <w:rPr>
          <w:rFonts w:ascii="Arial" w:hAnsi="Arial" w:cs="Arial"/>
        </w:rPr>
        <w:t xml:space="preserve">innovation and enterprise including </w:t>
      </w:r>
      <w:r w:rsidRPr="0022626A">
        <w:rPr>
          <w:rFonts w:ascii="Arial" w:hAnsi="Arial" w:cs="Arial"/>
        </w:rPr>
        <w:t>the film industry any such reduction would be determined in consultation with the Chief Executive or appropriate Director.</w:t>
      </w:r>
    </w:p>
    <w:p w14:paraId="4243D25F" w14:textId="77777777" w:rsidR="00375C54" w:rsidRPr="00894FB2" w:rsidRDefault="00375C54" w:rsidP="00C4454A">
      <w:pPr>
        <w:spacing w:after="0" w:line="360" w:lineRule="auto"/>
        <w:rPr>
          <w:rFonts w:ascii="Arial" w:hAnsi="Arial" w:cs="Arial"/>
          <w:b/>
          <w:color w:val="FF0000"/>
        </w:rPr>
      </w:pPr>
      <w:r w:rsidRPr="00894FB2">
        <w:rPr>
          <w:rFonts w:ascii="Arial" w:hAnsi="Arial" w:cs="Arial"/>
          <w:b/>
          <w:color w:val="A02B93" w:themeColor="accent5"/>
        </w:rPr>
        <w:t xml:space="preserve">Clarifications </w:t>
      </w:r>
    </w:p>
    <w:p w14:paraId="3E96845A" w14:textId="77777777" w:rsidR="00375C54" w:rsidRPr="0022626A" w:rsidRDefault="00375C54" w:rsidP="00C4454A">
      <w:pPr>
        <w:spacing w:line="360" w:lineRule="auto"/>
        <w:jc w:val="both"/>
        <w:rPr>
          <w:rFonts w:ascii="Arial" w:hAnsi="Arial" w:cs="Arial"/>
        </w:rPr>
      </w:pPr>
      <w:r w:rsidRPr="0022626A">
        <w:rPr>
          <w:rFonts w:ascii="Arial" w:hAnsi="Arial" w:cs="Arial"/>
        </w:rPr>
        <w:t>No negative levy (i.e., no credit shall accrue) will be charged because of the calculation of development charges due to the issue of a grant of permission e.g. change of use etc.</w:t>
      </w:r>
    </w:p>
    <w:p w14:paraId="1D882AE4" w14:textId="77777777" w:rsidR="00375C54" w:rsidRPr="0022626A" w:rsidRDefault="00375C54" w:rsidP="00C4454A">
      <w:pPr>
        <w:spacing w:line="360" w:lineRule="auto"/>
        <w:jc w:val="both"/>
        <w:rPr>
          <w:rFonts w:ascii="Arial" w:hAnsi="Arial" w:cs="Arial"/>
        </w:rPr>
      </w:pPr>
      <w:r w:rsidRPr="0022626A">
        <w:rPr>
          <w:rFonts w:ascii="Arial" w:hAnsi="Arial" w:cs="Arial"/>
        </w:rPr>
        <w:t xml:space="preserve">Inclusion of units in the Local Authority Leasing Programme </w:t>
      </w:r>
      <w:r w:rsidRPr="0022626A">
        <w:rPr>
          <w:rFonts w:ascii="Arial" w:hAnsi="Arial" w:cs="Arial"/>
          <w:b/>
          <w:u w:val="single"/>
        </w:rPr>
        <w:t>does not exempt</w:t>
      </w:r>
      <w:r w:rsidRPr="0022626A">
        <w:rPr>
          <w:rFonts w:ascii="Arial" w:hAnsi="Arial" w:cs="Arial"/>
        </w:rPr>
        <w:t xml:space="preserve"> the owner/developer from the payment of development charges in respect of said units.</w:t>
      </w:r>
    </w:p>
    <w:p w14:paraId="7E5CD23A" w14:textId="77777777" w:rsidR="00375C54" w:rsidRPr="0022626A" w:rsidRDefault="00375C54" w:rsidP="00C4454A">
      <w:pPr>
        <w:spacing w:line="360" w:lineRule="auto"/>
        <w:jc w:val="both"/>
        <w:rPr>
          <w:rFonts w:ascii="Arial" w:hAnsi="Arial" w:cs="Arial"/>
          <w:lang w:val="en-GB" w:eastAsia="en-GB"/>
        </w:rPr>
      </w:pPr>
      <w:r w:rsidRPr="0022626A">
        <w:rPr>
          <w:rFonts w:ascii="Arial" w:hAnsi="Arial" w:cs="Arial"/>
          <w:lang w:val="en-GB" w:eastAsia="en-GB"/>
        </w:rPr>
        <w:t xml:space="preserve">Nursing Home Developments: Applications for Nursing Home Developments will be charged at Residential rates as per scheme. </w:t>
      </w:r>
    </w:p>
    <w:p w14:paraId="102902EA" w14:textId="7E9F3C52" w:rsidR="003238BB" w:rsidRPr="003238BB" w:rsidRDefault="003238BB" w:rsidP="003238BB">
      <w:pPr>
        <w:spacing w:after="0" w:line="360" w:lineRule="auto"/>
        <w:jc w:val="both"/>
        <w:rPr>
          <w:rFonts w:ascii="Arial" w:hAnsi="Arial" w:cs="Arial"/>
          <w:b/>
          <w:color w:val="A02B93" w:themeColor="accent5"/>
        </w:rPr>
      </w:pPr>
      <w:r w:rsidRPr="003238BB">
        <w:rPr>
          <w:rFonts w:ascii="Arial" w:hAnsi="Arial" w:cs="Arial"/>
          <w:b/>
          <w:color w:val="A02B93" w:themeColor="accent5"/>
        </w:rPr>
        <w:t xml:space="preserve">Duration of Development Contribution Scheme </w:t>
      </w:r>
    </w:p>
    <w:p w14:paraId="07F90451" w14:textId="77777777" w:rsidR="003238BB" w:rsidRDefault="003238BB" w:rsidP="003238BB">
      <w:pPr>
        <w:spacing w:line="360" w:lineRule="auto"/>
        <w:jc w:val="both"/>
        <w:rPr>
          <w:rFonts w:ascii="Arial" w:hAnsi="Arial" w:cs="Arial"/>
          <w:bCs/>
        </w:rPr>
      </w:pPr>
      <w:r>
        <w:rPr>
          <w:rFonts w:ascii="Arial" w:hAnsi="Arial" w:cs="Arial"/>
          <w:bCs/>
        </w:rPr>
        <w:t xml:space="preserve">This Development Contribution Scheme shall be effective from the date of making of the scheme until such time as a subsequent scheme is made. </w:t>
      </w:r>
    </w:p>
    <w:p w14:paraId="1D36CF77" w14:textId="77777777" w:rsidR="00AE5BD4" w:rsidRDefault="00AE5BD4" w:rsidP="00AE5BD4">
      <w:pPr>
        <w:pStyle w:val="Heading1"/>
        <w:spacing w:line="360" w:lineRule="auto"/>
        <w:jc w:val="both"/>
        <w:rPr>
          <w:rFonts w:ascii="Arial" w:hAnsi="Arial" w:cs="Arial"/>
          <w:b/>
          <w:bCs/>
          <w:color w:val="A02B93" w:themeColor="accent5"/>
          <w:sz w:val="24"/>
          <w:szCs w:val="24"/>
        </w:rPr>
      </w:pPr>
      <w:r w:rsidRPr="003461A2">
        <w:rPr>
          <w:rFonts w:ascii="Arial" w:hAnsi="Arial" w:cs="Arial"/>
          <w:b/>
          <w:bCs/>
          <w:color w:val="A02B93" w:themeColor="accent5"/>
          <w:sz w:val="24"/>
          <w:szCs w:val="24"/>
        </w:rPr>
        <w:t>Appealing Development Contributions</w:t>
      </w:r>
    </w:p>
    <w:p w14:paraId="59E58267" w14:textId="77777777" w:rsidR="00AE5BD4" w:rsidRPr="00917239" w:rsidRDefault="00AE5BD4" w:rsidP="00AE5BD4">
      <w:pPr>
        <w:spacing w:line="360" w:lineRule="auto"/>
        <w:jc w:val="both"/>
        <w:rPr>
          <w:rFonts w:ascii="Arial" w:hAnsi="Arial" w:cs="Arial"/>
        </w:rPr>
      </w:pPr>
      <w:r w:rsidRPr="00917239">
        <w:rPr>
          <w:rFonts w:ascii="Arial" w:hAnsi="Arial" w:cs="Arial"/>
        </w:rPr>
        <w:t>In accordance with section 48 (10) of the Planning and Development Act 2000 (as amended), a</w:t>
      </w:r>
      <w:r>
        <w:rPr>
          <w:rFonts w:ascii="Arial" w:hAnsi="Arial" w:cs="Arial"/>
        </w:rPr>
        <w:t xml:space="preserve">n applicant </w:t>
      </w:r>
      <w:r w:rsidRPr="00917239">
        <w:rPr>
          <w:rFonts w:ascii="Arial" w:hAnsi="Arial" w:cs="Arial"/>
        </w:rPr>
        <w:t>can only appeal a general development contribution on the basis that the terms of the scheme were not properly applied.</w:t>
      </w:r>
    </w:p>
    <w:p w14:paraId="49F9F6C7" w14:textId="77274B20" w:rsidR="00375C54" w:rsidRPr="0022626A" w:rsidRDefault="00375C54" w:rsidP="00C4454A">
      <w:pPr>
        <w:spacing w:line="360" w:lineRule="auto"/>
        <w:jc w:val="both"/>
        <w:rPr>
          <w:rFonts w:ascii="Arial" w:hAnsi="Arial" w:cs="Arial"/>
          <w:lang w:val="en-GB" w:eastAsia="en-GB"/>
        </w:rPr>
      </w:pPr>
    </w:p>
    <w:p w14:paraId="50D71A3F" w14:textId="77777777" w:rsidR="00603818" w:rsidRDefault="00603818" w:rsidP="00C4454A">
      <w:pPr>
        <w:spacing w:line="360" w:lineRule="auto"/>
        <w:rPr>
          <w:rFonts w:ascii="Arial" w:hAnsi="Arial" w:cs="Arial"/>
          <w:b/>
          <w:bCs/>
          <w:color w:val="A02B93" w:themeColor="accent5"/>
        </w:rPr>
      </w:pPr>
    </w:p>
    <w:p w14:paraId="6716D347" w14:textId="77777777" w:rsidR="00603818" w:rsidRDefault="00603818" w:rsidP="00C4454A">
      <w:pPr>
        <w:spacing w:line="360" w:lineRule="auto"/>
        <w:rPr>
          <w:rFonts w:ascii="Arial" w:hAnsi="Arial" w:cs="Arial"/>
          <w:b/>
          <w:bCs/>
          <w:color w:val="A02B93" w:themeColor="accent5"/>
        </w:rPr>
      </w:pPr>
    </w:p>
    <w:p w14:paraId="71B43650" w14:textId="77777777" w:rsidR="00603818" w:rsidRDefault="00603818" w:rsidP="00C4454A">
      <w:pPr>
        <w:spacing w:line="360" w:lineRule="auto"/>
        <w:rPr>
          <w:rFonts w:ascii="Arial" w:hAnsi="Arial" w:cs="Arial"/>
          <w:b/>
          <w:bCs/>
          <w:color w:val="A02B93" w:themeColor="accent5"/>
        </w:rPr>
      </w:pPr>
    </w:p>
    <w:p w14:paraId="29948E01" w14:textId="77777777" w:rsidR="00603818" w:rsidRDefault="00603818" w:rsidP="00C4454A">
      <w:pPr>
        <w:spacing w:line="360" w:lineRule="auto"/>
        <w:rPr>
          <w:rFonts w:ascii="Arial" w:hAnsi="Arial" w:cs="Arial"/>
          <w:b/>
          <w:bCs/>
          <w:color w:val="A02B93" w:themeColor="accent5"/>
        </w:rPr>
      </w:pPr>
    </w:p>
    <w:p w14:paraId="4318886A" w14:textId="77777777" w:rsidR="00603818" w:rsidRDefault="00603818" w:rsidP="00C4454A">
      <w:pPr>
        <w:spacing w:line="360" w:lineRule="auto"/>
        <w:rPr>
          <w:rFonts w:ascii="Arial" w:hAnsi="Arial" w:cs="Arial"/>
          <w:b/>
          <w:bCs/>
          <w:color w:val="A02B93" w:themeColor="accent5"/>
        </w:rPr>
      </w:pPr>
    </w:p>
    <w:p w14:paraId="1F36325C" w14:textId="77777777" w:rsidR="00603818" w:rsidRDefault="00603818" w:rsidP="00C4454A">
      <w:pPr>
        <w:spacing w:line="360" w:lineRule="auto"/>
        <w:rPr>
          <w:rFonts w:ascii="Arial" w:hAnsi="Arial" w:cs="Arial"/>
          <w:b/>
          <w:bCs/>
          <w:color w:val="A02B93" w:themeColor="accent5"/>
        </w:rPr>
      </w:pPr>
    </w:p>
    <w:p w14:paraId="7D36C3D1" w14:textId="77777777" w:rsidR="00603818" w:rsidRDefault="00603818" w:rsidP="00C4454A">
      <w:pPr>
        <w:spacing w:line="360" w:lineRule="auto"/>
        <w:rPr>
          <w:rFonts w:ascii="Arial" w:hAnsi="Arial" w:cs="Arial"/>
          <w:b/>
          <w:bCs/>
          <w:color w:val="A02B93" w:themeColor="accent5"/>
        </w:rPr>
      </w:pPr>
    </w:p>
    <w:p w14:paraId="3903254F" w14:textId="77777777" w:rsidR="00603818" w:rsidRDefault="00603818" w:rsidP="00C4454A">
      <w:pPr>
        <w:spacing w:line="360" w:lineRule="auto"/>
      </w:pPr>
    </w:p>
    <w:p w14:paraId="387DE0E6" w14:textId="66E10B64" w:rsidR="00916450" w:rsidRDefault="00916450" w:rsidP="00C4454A">
      <w:pPr>
        <w:spacing w:line="360" w:lineRule="auto"/>
        <w:jc w:val="both"/>
        <w:rPr>
          <w:rFonts w:ascii="Arial" w:hAnsi="Arial" w:cs="Arial"/>
          <w:bCs/>
        </w:rPr>
      </w:pPr>
    </w:p>
    <w:p w14:paraId="6998AA93" w14:textId="77777777" w:rsidR="0034043E" w:rsidRDefault="0034043E" w:rsidP="00C4454A">
      <w:pPr>
        <w:spacing w:line="360" w:lineRule="auto"/>
      </w:pPr>
    </w:p>
    <w:sectPr w:rsidR="0034043E" w:rsidSect="00156300">
      <w:headerReference w:type="default" r:id="rId11"/>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DD1D" w14:textId="77777777" w:rsidR="00E27C12" w:rsidRDefault="00E27C12" w:rsidP="00420682">
      <w:pPr>
        <w:spacing w:after="0" w:line="240" w:lineRule="auto"/>
      </w:pPr>
      <w:r>
        <w:separator/>
      </w:r>
    </w:p>
  </w:endnote>
  <w:endnote w:type="continuationSeparator" w:id="0">
    <w:p w14:paraId="689F491B" w14:textId="77777777" w:rsidR="00E27C12" w:rsidRDefault="00E27C12"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92C" w14:textId="01BEA8A9" w:rsidR="003238BB" w:rsidRDefault="005A6F7E">
    <w:pPr>
      <w:pStyle w:val="Footer"/>
    </w:pPr>
    <w:r>
      <w:rPr>
        <w:rFonts w:ascii="Arial" w:eastAsia="Arial" w:hAnsi="Arial" w:cs="Arial"/>
        <w:bCs/>
        <w:noProof/>
      </w:rPr>
      <w:drawing>
        <wp:inline distT="0" distB="0" distL="0" distR="0" wp14:anchorId="0A58FB64" wp14:editId="12B0F450">
          <wp:extent cx="1591310" cy="474645"/>
          <wp:effectExtent l="0" t="0" r="0" b="1905"/>
          <wp:docPr id="536512080"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6914" name="Picture 1" descr="A purple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77" cy="50675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B218" w14:textId="24E87385" w:rsidR="00C34847" w:rsidRPr="00C34847" w:rsidRDefault="00C34847" w:rsidP="00C34847">
    <w:pPr>
      <w:pStyle w:val="Footer"/>
    </w:pPr>
    <w:r>
      <w:rPr>
        <w:rFonts w:ascii="Arial" w:eastAsia="Arial" w:hAnsi="Arial" w:cs="Arial"/>
        <w:bCs/>
        <w:noProof/>
      </w:rPr>
      <w:drawing>
        <wp:inline distT="0" distB="0" distL="0" distR="0" wp14:anchorId="04A48498" wp14:editId="367F7570">
          <wp:extent cx="1591310" cy="474645"/>
          <wp:effectExtent l="0" t="0" r="0" b="1905"/>
          <wp:docPr id="390042530"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6914" name="Picture 1" descr="A purple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77" cy="5067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96EC" w14:textId="77777777" w:rsidR="00E27C12" w:rsidRDefault="00E27C12" w:rsidP="00420682">
      <w:pPr>
        <w:spacing w:after="0" w:line="240" w:lineRule="auto"/>
      </w:pPr>
      <w:r>
        <w:separator/>
      </w:r>
    </w:p>
  </w:footnote>
  <w:footnote w:type="continuationSeparator" w:id="0">
    <w:p w14:paraId="7C9E1B9F" w14:textId="77777777" w:rsidR="00E27C12" w:rsidRDefault="00E27C12" w:rsidP="0042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4DBF" w14:textId="1A14F10D" w:rsidR="008A4779" w:rsidRPr="00A324A1" w:rsidRDefault="008A4779" w:rsidP="008A4779">
    <w:pPr>
      <w:jc w:val="center"/>
      <w:rPr>
        <w:rFonts w:ascii="Arial" w:hAnsi="Arial" w:cs="Arial"/>
        <w:b/>
        <w:smallCaps/>
        <w:color w:val="A02B93" w:themeColor="accent5"/>
      </w:rPr>
    </w:pPr>
    <w:r>
      <w:tab/>
    </w:r>
    <w:r w:rsidRPr="00A324A1">
      <w:rPr>
        <w:rFonts w:ascii="Arial" w:hAnsi="Arial" w:cs="Arial"/>
        <w:b/>
        <w:color w:val="A02B93" w:themeColor="accent5"/>
      </w:rPr>
      <w:t>DEVELOPMENT CONTRIBUTION SCHEME 202</w:t>
    </w:r>
    <w:r>
      <w:rPr>
        <w:rFonts w:ascii="Arial" w:hAnsi="Arial" w:cs="Arial"/>
        <w:b/>
        <w:color w:val="A02B93" w:themeColor="accent5"/>
      </w:rPr>
      <w:t>6-2029 – OVERVIEW</w:t>
    </w:r>
  </w:p>
  <w:p w14:paraId="5F0DBBFC" w14:textId="15A78C9A" w:rsidR="00420682" w:rsidRDefault="00420682" w:rsidP="008A4779">
    <w:pPr>
      <w:pStyle w:val="Header"/>
      <w:tabs>
        <w:tab w:val="clear" w:pos="4513"/>
        <w:tab w:val="clear" w:pos="9026"/>
        <w:tab w:val="left" w:pos="3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274"/>
    <w:multiLevelType w:val="hybridMultilevel"/>
    <w:tmpl w:val="F75C3B38"/>
    <w:lvl w:ilvl="0" w:tplc="3DA8BB84">
      <w:start w:val="1"/>
      <w:numFmt w:val="decimal"/>
      <w:lvlText w:val="%1."/>
      <w:lvlJc w:val="left"/>
      <w:pPr>
        <w:ind w:left="720" w:hanging="360"/>
      </w:pPr>
      <w:rPr>
        <w:rFonts w:hint="default"/>
        <w:color w:val="A02B93" w:themeColor="accent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F03592"/>
    <w:multiLevelType w:val="hybridMultilevel"/>
    <w:tmpl w:val="D8420FD2"/>
    <w:lvl w:ilvl="0" w:tplc="E7B0D9F0">
      <w:start w:val="1"/>
      <w:numFmt w:val="lowerLetter"/>
      <w:lvlText w:val="(%1)"/>
      <w:lvlJc w:val="left"/>
      <w:pPr>
        <w:tabs>
          <w:tab w:val="num" w:pos="2505"/>
        </w:tabs>
        <w:ind w:left="2505" w:hanging="705"/>
      </w:pPr>
    </w:lvl>
    <w:lvl w:ilvl="1" w:tplc="08090019">
      <w:start w:val="1"/>
      <w:numFmt w:val="lowerLetter"/>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start w:val="1"/>
      <w:numFmt w:val="decimal"/>
      <w:lvlText w:val="%4."/>
      <w:lvlJc w:val="left"/>
      <w:pPr>
        <w:tabs>
          <w:tab w:val="num" w:pos="4680"/>
        </w:tabs>
        <w:ind w:left="4680" w:hanging="360"/>
      </w:pPr>
    </w:lvl>
    <w:lvl w:ilvl="4" w:tplc="08090019">
      <w:start w:val="1"/>
      <w:numFmt w:val="lowerLetter"/>
      <w:lvlText w:val="%5."/>
      <w:lvlJc w:val="left"/>
      <w:pPr>
        <w:tabs>
          <w:tab w:val="num" w:pos="5400"/>
        </w:tabs>
        <w:ind w:left="5400" w:hanging="360"/>
      </w:pPr>
    </w:lvl>
    <w:lvl w:ilvl="5" w:tplc="0809001B">
      <w:start w:val="1"/>
      <w:numFmt w:val="lowerRoman"/>
      <w:lvlText w:val="%6."/>
      <w:lvlJc w:val="right"/>
      <w:pPr>
        <w:tabs>
          <w:tab w:val="num" w:pos="6120"/>
        </w:tabs>
        <w:ind w:left="6120" w:hanging="180"/>
      </w:pPr>
    </w:lvl>
    <w:lvl w:ilvl="6" w:tplc="0809000F">
      <w:start w:val="1"/>
      <w:numFmt w:val="decimal"/>
      <w:lvlText w:val="%7."/>
      <w:lvlJc w:val="left"/>
      <w:pPr>
        <w:tabs>
          <w:tab w:val="num" w:pos="6840"/>
        </w:tabs>
        <w:ind w:left="6840" w:hanging="360"/>
      </w:pPr>
    </w:lvl>
    <w:lvl w:ilvl="7" w:tplc="08090019">
      <w:start w:val="1"/>
      <w:numFmt w:val="lowerLetter"/>
      <w:lvlText w:val="%8."/>
      <w:lvlJc w:val="left"/>
      <w:pPr>
        <w:tabs>
          <w:tab w:val="num" w:pos="7560"/>
        </w:tabs>
        <w:ind w:left="7560" w:hanging="360"/>
      </w:pPr>
    </w:lvl>
    <w:lvl w:ilvl="8" w:tplc="0809001B">
      <w:start w:val="1"/>
      <w:numFmt w:val="lowerRoman"/>
      <w:lvlText w:val="%9."/>
      <w:lvlJc w:val="right"/>
      <w:pPr>
        <w:tabs>
          <w:tab w:val="num" w:pos="8280"/>
        </w:tabs>
        <w:ind w:left="8280" w:hanging="180"/>
      </w:pPr>
    </w:lvl>
  </w:abstractNum>
  <w:abstractNum w:abstractNumId="2" w15:restartNumberingAfterBreak="0">
    <w:nsid w:val="1F9D727E"/>
    <w:multiLevelType w:val="multilevel"/>
    <w:tmpl w:val="56F80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421BD"/>
    <w:multiLevelType w:val="hybridMultilevel"/>
    <w:tmpl w:val="F0220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A2082"/>
    <w:multiLevelType w:val="multilevel"/>
    <w:tmpl w:val="AC385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D482A"/>
    <w:multiLevelType w:val="hybridMultilevel"/>
    <w:tmpl w:val="556CA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05A3C"/>
    <w:multiLevelType w:val="hybridMultilevel"/>
    <w:tmpl w:val="43D6F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FE6B7A"/>
    <w:multiLevelType w:val="hybridMultilevel"/>
    <w:tmpl w:val="049ADBA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6C902D23"/>
    <w:multiLevelType w:val="multilevel"/>
    <w:tmpl w:val="A656A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299666">
    <w:abstractNumId w:val="2"/>
  </w:num>
  <w:num w:numId="2" w16cid:durableId="686449457">
    <w:abstractNumId w:val="4"/>
  </w:num>
  <w:num w:numId="3" w16cid:durableId="1131830084">
    <w:abstractNumId w:val="8"/>
  </w:num>
  <w:num w:numId="4" w16cid:durableId="592932276">
    <w:abstractNumId w:val="0"/>
  </w:num>
  <w:num w:numId="5" w16cid:durableId="1997296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199321">
    <w:abstractNumId w:val="5"/>
  </w:num>
  <w:num w:numId="7" w16cid:durableId="508762310">
    <w:abstractNumId w:val="3"/>
  </w:num>
  <w:num w:numId="8" w16cid:durableId="862668124">
    <w:abstractNumId w:val="6"/>
  </w:num>
  <w:num w:numId="9" w16cid:durableId="673259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E"/>
    <w:rsid w:val="00156300"/>
    <w:rsid w:val="00196FF5"/>
    <w:rsid w:val="00262179"/>
    <w:rsid w:val="002627A0"/>
    <w:rsid w:val="003238BB"/>
    <w:rsid w:val="0034043E"/>
    <w:rsid w:val="003728A9"/>
    <w:rsid w:val="00375C54"/>
    <w:rsid w:val="00420682"/>
    <w:rsid w:val="00422449"/>
    <w:rsid w:val="005A6F7E"/>
    <w:rsid w:val="005C5406"/>
    <w:rsid w:val="00603818"/>
    <w:rsid w:val="0077658C"/>
    <w:rsid w:val="007F6F39"/>
    <w:rsid w:val="0081505B"/>
    <w:rsid w:val="00894FB2"/>
    <w:rsid w:val="008A4779"/>
    <w:rsid w:val="008B5D48"/>
    <w:rsid w:val="00916450"/>
    <w:rsid w:val="00922BF5"/>
    <w:rsid w:val="00A87551"/>
    <w:rsid w:val="00A9593B"/>
    <w:rsid w:val="00AE5BD4"/>
    <w:rsid w:val="00AF5D83"/>
    <w:rsid w:val="00BD0F47"/>
    <w:rsid w:val="00C04978"/>
    <w:rsid w:val="00C34847"/>
    <w:rsid w:val="00C4454A"/>
    <w:rsid w:val="00CE5610"/>
    <w:rsid w:val="00E27C12"/>
    <w:rsid w:val="00F04C6B"/>
    <w:rsid w:val="00FB05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2AB0"/>
  <w15:chartTrackingRefBased/>
  <w15:docId w15:val="{56EBC7CA-9E22-42A0-9513-B73342F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43E"/>
    <w:rPr>
      <w:rFonts w:eastAsiaTheme="majorEastAsia" w:cstheme="majorBidi"/>
      <w:color w:val="272727" w:themeColor="text1" w:themeTint="D8"/>
    </w:rPr>
  </w:style>
  <w:style w:type="paragraph" w:styleId="Title">
    <w:name w:val="Title"/>
    <w:basedOn w:val="Normal"/>
    <w:next w:val="Normal"/>
    <w:link w:val="TitleChar"/>
    <w:uiPriority w:val="10"/>
    <w:qFormat/>
    <w:rsid w:val="0034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43E"/>
    <w:pPr>
      <w:spacing w:before="160"/>
      <w:jc w:val="center"/>
    </w:pPr>
    <w:rPr>
      <w:i/>
      <w:iCs/>
      <w:color w:val="404040" w:themeColor="text1" w:themeTint="BF"/>
    </w:rPr>
  </w:style>
  <w:style w:type="character" w:customStyle="1" w:styleId="QuoteChar">
    <w:name w:val="Quote Char"/>
    <w:basedOn w:val="DefaultParagraphFont"/>
    <w:link w:val="Quote"/>
    <w:uiPriority w:val="29"/>
    <w:rsid w:val="0034043E"/>
    <w:rPr>
      <w:i/>
      <w:iCs/>
      <w:color w:val="404040" w:themeColor="text1" w:themeTint="BF"/>
    </w:rPr>
  </w:style>
  <w:style w:type="paragraph" w:styleId="ListParagraph">
    <w:name w:val="List Paragraph"/>
    <w:basedOn w:val="Normal"/>
    <w:uiPriority w:val="34"/>
    <w:qFormat/>
    <w:rsid w:val="0034043E"/>
    <w:pPr>
      <w:ind w:left="720"/>
      <w:contextualSpacing/>
    </w:pPr>
  </w:style>
  <w:style w:type="character" w:styleId="IntenseEmphasis">
    <w:name w:val="Intense Emphasis"/>
    <w:basedOn w:val="DefaultParagraphFont"/>
    <w:uiPriority w:val="21"/>
    <w:qFormat/>
    <w:rsid w:val="0034043E"/>
    <w:rPr>
      <w:i/>
      <w:iCs/>
      <w:color w:val="0F4761" w:themeColor="accent1" w:themeShade="BF"/>
    </w:rPr>
  </w:style>
  <w:style w:type="paragraph" w:styleId="IntenseQuote">
    <w:name w:val="Intense Quote"/>
    <w:basedOn w:val="Normal"/>
    <w:next w:val="Normal"/>
    <w:link w:val="IntenseQuoteChar"/>
    <w:uiPriority w:val="30"/>
    <w:qFormat/>
    <w:rsid w:val="0034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43E"/>
    <w:rPr>
      <w:i/>
      <w:iCs/>
      <w:color w:val="0F4761" w:themeColor="accent1" w:themeShade="BF"/>
    </w:rPr>
  </w:style>
  <w:style w:type="character" w:styleId="IntenseReference">
    <w:name w:val="Intense Reference"/>
    <w:basedOn w:val="DefaultParagraphFont"/>
    <w:uiPriority w:val="32"/>
    <w:qFormat/>
    <w:rsid w:val="0034043E"/>
    <w:rPr>
      <w:b/>
      <w:bCs/>
      <w:smallCaps/>
      <w:color w:val="0F4761" w:themeColor="accent1" w:themeShade="BF"/>
      <w:spacing w:val="5"/>
    </w:rPr>
  </w:style>
  <w:style w:type="paragraph" w:styleId="Header">
    <w:name w:val="header"/>
    <w:basedOn w:val="Normal"/>
    <w:link w:val="HeaderChar"/>
    <w:uiPriority w:val="99"/>
    <w:unhideWhenUsed/>
    <w:rsid w:val="0042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682"/>
  </w:style>
  <w:style w:type="paragraph" w:styleId="Footer">
    <w:name w:val="footer"/>
    <w:basedOn w:val="Normal"/>
    <w:link w:val="FooterChar"/>
    <w:uiPriority w:val="99"/>
    <w:unhideWhenUsed/>
    <w:rsid w:val="0042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682"/>
  </w:style>
  <w:style w:type="table" w:styleId="TableGrid">
    <w:name w:val="Table Grid"/>
    <w:basedOn w:val="TableNormal"/>
    <w:uiPriority w:val="39"/>
    <w:rsid w:val="00603818"/>
    <w:pPr>
      <w:spacing w:after="0" w:line="240" w:lineRule="auto"/>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56300"/>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156300"/>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DC17E676B477A8715A7446C5DD146"/>
        <w:category>
          <w:name w:val="General"/>
          <w:gallery w:val="placeholder"/>
        </w:category>
        <w:types>
          <w:type w:val="bbPlcHdr"/>
        </w:types>
        <w:behaviors>
          <w:behavior w:val="content"/>
        </w:behaviors>
        <w:guid w:val="{741A0163-5534-496F-AAF0-6C60A4B0C321}"/>
      </w:docPartPr>
      <w:docPartBody>
        <w:p w:rsidR="00AB61AA" w:rsidRDefault="00AB61AA" w:rsidP="00AB61AA">
          <w:pPr>
            <w:pStyle w:val="F9BDC17E676B477A8715A7446C5DD146"/>
          </w:pPr>
          <w:r>
            <w:rPr>
              <w:color w:val="0F4761" w:themeColor="accent1" w:themeShade="BF"/>
            </w:rPr>
            <w:t>[Company name]</w:t>
          </w:r>
        </w:p>
      </w:docPartBody>
    </w:docPart>
    <w:docPart>
      <w:docPartPr>
        <w:name w:val="FE68852F932340349696FD8556C123A9"/>
        <w:category>
          <w:name w:val="General"/>
          <w:gallery w:val="placeholder"/>
        </w:category>
        <w:types>
          <w:type w:val="bbPlcHdr"/>
        </w:types>
        <w:behaviors>
          <w:behavior w:val="content"/>
        </w:behaviors>
        <w:guid w:val="{EE738472-9EFC-4A35-B6BD-92209DFD1AF7}"/>
      </w:docPartPr>
      <w:docPartBody>
        <w:p w:rsidR="00AB61AA" w:rsidRDefault="00AB61AA" w:rsidP="00AB61AA">
          <w:pPr>
            <w:pStyle w:val="FE68852F932340349696FD8556C123A9"/>
          </w:pPr>
          <w:r>
            <w:rPr>
              <w:rFonts w:asciiTheme="majorHAnsi" w:eastAsiaTheme="majorEastAsia" w:hAnsiTheme="majorHAnsi" w:cstheme="majorBidi"/>
              <w:color w:val="156082" w:themeColor="accent1"/>
              <w:sz w:val="88"/>
              <w:szCs w:val="88"/>
            </w:rPr>
            <w:t>[Document title]</w:t>
          </w:r>
        </w:p>
      </w:docPartBody>
    </w:docPart>
    <w:docPart>
      <w:docPartPr>
        <w:name w:val="A70F365A485D4173A6E5068383554648"/>
        <w:category>
          <w:name w:val="General"/>
          <w:gallery w:val="placeholder"/>
        </w:category>
        <w:types>
          <w:type w:val="bbPlcHdr"/>
        </w:types>
        <w:behaviors>
          <w:behavior w:val="content"/>
        </w:behaviors>
        <w:guid w:val="{4C69ABBE-7355-4CA1-AD49-311F9412CE6C}"/>
      </w:docPartPr>
      <w:docPartBody>
        <w:p w:rsidR="00AB61AA" w:rsidRDefault="00AB61AA" w:rsidP="00AB61AA">
          <w:pPr>
            <w:pStyle w:val="A70F365A485D4173A6E5068383554648"/>
          </w:pPr>
          <w:r>
            <w:rPr>
              <w:color w:val="0F4761" w:themeColor="accent1" w:themeShade="BF"/>
            </w:rPr>
            <w:t>[Document subtitle]</w:t>
          </w:r>
        </w:p>
      </w:docPartBody>
    </w:docPart>
    <w:docPart>
      <w:docPartPr>
        <w:name w:val="0BD1E1F1C9944371AE4548A4052F1A6C"/>
        <w:category>
          <w:name w:val="General"/>
          <w:gallery w:val="placeholder"/>
        </w:category>
        <w:types>
          <w:type w:val="bbPlcHdr"/>
        </w:types>
        <w:behaviors>
          <w:behavior w:val="content"/>
        </w:behaviors>
        <w:guid w:val="{9DFA34E6-6A0C-4604-B793-1357B16D5B5E}"/>
      </w:docPartPr>
      <w:docPartBody>
        <w:p w:rsidR="00AB61AA" w:rsidRDefault="00AB61AA" w:rsidP="00AB61AA">
          <w:pPr>
            <w:pStyle w:val="0BD1E1F1C9944371AE4548A4052F1A6C"/>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AA"/>
    <w:rsid w:val="00922BF5"/>
    <w:rsid w:val="00AB61AA"/>
    <w:rsid w:val="00F04C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DC17E676B477A8715A7446C5DD146">
    <w:name w:val="F9BDC17E676B477A8715A7446C5DD146"/>
    <w:rsid w:val="00AB61AA"/>
  </w:style>
  <w:style w:type="paragraph" w:customStyle="1" w:styleId="FE68852F932340349696FD8556C123A9">
    <w:name w:val="FE68852F932340349696FD8556C123A9"/>
    <w:rsid w:val="00AB61AA"/>
  </w:style>
  <w:style w:type="paragraph" w:customStyle="1" w:styleId="A70F365A485D4173A6E5068383554648">
    <w:name w:val="A70F365A485D4173A6E5068383554648"/>
    <w:rsid w:val="00AB61AA"/>
  </w:style>
  <w:style w:type="paragraph" w:customStyle="1" w:styleId="0BD1E1F1C9944371AE4548A4052F1A6C">
    <w:name w:val="0BD1E1F1C9944371AE4548A4052F1A6C"/>
    <w:rsid w:val="00AB6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01493e-ad13-42e1-9dcf-d1a799192597">
      <Terms xmlns="http://schemas.microsoft.com/office/infopath/2007/PartnerControls"/>
    </lcf76f155ced4ddcb4097134ff3c332f>
    <TaxCatchAll xmlns="4405104f-5580-4e70-ae62-6049da9544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4C8E5DAED104FB62D4ADB44F5C574" ma:contentTypeVersion="11" ma:contentTypeDescription="Create a new document." ma:contentTypeScope="" ma:versionID="1c3ed937e9bbd282a5539cdd6db22cfb">
  <xsd:schema xmlns:xsd="http://www.w3.org/2001/XMLSchema" xmlns:xs="http://www.w3.org/2001/XMLSchema" xmlns:p="http://schemas.microsoft.com/office/2006/metadata/properties" xmlns:ns2="a801493e-ad13-42e1-9dcf-d1a799192597" xmlns:ns3="4405104f-5580-4e70-ae62-6049da95445e" targetNamespace="http://schemas.microsoft.com/office/2006/metadata/properties" ma:root="true" ma:fieldsID="82e0aee77a691723434a81dbdd0978fa" ns2:_="" ns3:_="">
    <xsd:import namespace="a801493e-ad13-42e1-9dcf-d1a799192597"/>
    <xsd:import namespace="4405104f-5580-4e70-ae62-6049da95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1493e-ad13-42e1-9dcf-d1a799192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5104f-5580-4e70-ae62-6049da9544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425728-23c2-4701-86c3-812eeffce6e5}" ma:internalName="TaxCatchAll" ma:showField="CatchAllData" ma:web="4405104f-5580-4e70-ae62-6049da95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9364EE-2553-41A9-9828-E76C027C7247}">
  <ds:schemaRef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a801493e-ad13-42e1-9dcf-d1a799192597"/>
    <ds:schemaRef ds:uri="http://schemas.openxmlformats.org/package/2006/metadata/core-properties"/>
    <ds:schemaRef ds:uri="4405104f-5580-4e70-ae62-6049da95445e"/>
    <ds:schemaRef ds:uri="http://www.w3.org/XML/1998/namespace"/>
  </ds:schemaRefs>
</ds:datastoreItem>
</file>

<file path=customXml/itemProps3.xml><?xml version="1.0" encoding="utf-8"?>
<ds:datastoreItem xmlns:ds="http://schemas.openxmlformats.org/officeDocument/2006/customXml" ds:itemID="{DA743E09-BFB2-4503-AC36-70FBAF8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1493e-ad13-42e1-9dcf-d1a799192597"/>
    <ds:schemaRef ds:uri="4405104f-5580-4e70-ae62-6049da954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83B5D-2395-4FE8-A65B-67DC7B96D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7897</Characters>
  <Application>Microsoft Office Word</Application>
  <DocSecurity>0</DocSecurity>
  <Lines>65</Lines>
  <Paragraphs>18</Paragraphs>
  <ScaleCrop>false</ScaleCrop>
  <Company>Wexford County Council</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Contributions Scheme 2026-2029</dc:title>
  <dc:subject>Scheme overview</dc:subject>
  <dc:creator>Adopted by Wexford County Council, 8th of December 2025. Effective from 1st of January 2026.</dc:creator>
  <cp:keywords/>
  <dc:description/>
  <cp:lastModifiedBy>Janine Fitzgerald</cp:lastModifiedBy>
  <cp:revision>2</cp:revision>
  <dcterms:created xsi:type="dcterms:W3CDTF">2025-12-16T16:36:00Z</dcterms:created>
  <dcterms:modified xsi:type="dcterms:W3CDTF">2025-12-16T16:36:00Z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0x01010015C4C8E5DAED104FB62D4ADB44F5C574</vt:lpwstr>
  </property>
  <property fmtid="{D5CDD505-2E9C-101B-9397-08002B2CF9AE}" pid="3" name="MediaServiceImageTags">
    <vt:lpwstr/>
  </property>
</Properties>
</file>