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2791" w14:textId="53DA74E7" w:rsidR="0043709D" w:rsidRDefault="0043709D" w:rsidP="0043709D">
      <w:pPr>
        <w:jc w:val="center"/>
        <w:rPr>
          <w:b/>
          <w:sz w:val="28"/>
          <w:szCs w:val="28"/>
        </w:rPr>
      </w:pPr>
      <w:r w:rsidRPr="00DD27E1">
        <w:rPr>
          <w:b/>
          <w:sz w:val="28"/>
          <w:szCs w:val="28"/>
        </w:rPr>
        <w:t xml:space="preserve">Notice </w:t>
      </w:r>
      <w:r w:rsidR="0021776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egarding Electoral Register Appeals</w:t>
      </w:r>
    </w:p>
    <w:p w14:paraId="302A1F70" w14:textId="4DCDF0DD" w:rsidR="00217762" w:rsidRPr="00DD27E1" w:rsidRDefault="00BB1F5A" w:rsidP="00437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</w:t>
      </w:r>
      <w:r w:rsidR="002270C0">
        <w:rPr>
          <w:b/>
          <w:sz w:val="28"/>
          <w:szCs w:val="28"/>
        </w:rPr>
        <w:t>unty</w:t>
      </w:r>
      <w:r>
        <w:rPr>
          <w:b/>
          <w:sz w:val="28"/>
          <w:szCs w:val="28"/>
        </w:rPr>
        <w:t xml:space="preserve"> of</w:t>
      </w:r>
      <w:r w:rsidR="00217762">
        <w:rPr>
          <w:b/>
          <w:sz w:val="28"/>
          <w:szCs w:val="28"/>
        </w:rPr>
        <w:t xml:space="preserve"> </w:t>
      </w:r>
      <w:r w:rsidR="00EB143B">
        <w:rPr>
          <w:b/>
          <w:sz w:val="28"/>
          <w:szCs w:val="28"/>
        </w:rPr>
        <w:t>Wexford</w:t>
      </w:r>
    </w:p>
    <w:p w14:paraId="3895C4B0" w14:textId="77777777" w:rsidR="0043709D" w:rsidRPr="00DD27E1" w:rsidRDefault="0043709D" w:rsidP="0043709D">
      <w:pPr>
        <w:jc w:val="center"/>
        <w:rPr>
          <w:rFonts w:eastAsia="Calibri"/>
          <w:b/>
          <w:bCs/>
          <w:sz w:val="28"/>
          <w:szCs w:val="28"/>
          <w:lang w:val="en-IE" w:eastAsia="en-IE"/>
        </w:rPr>
      </w:pPr>
    </w:p>
    <w:p w14:paraId="0EC5A14D" w14:textId="004A4A80" w:rsidR="006F3AEC" w:rsidRDefault="00BB1F5A" w:rsidP="006F3AEC">
      <w:pPr>
        <w:keepNext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en-IE" w:eastAsia="en-IE"/>
        </w:rPr>
      </w:pPr>
      <w:r>
        <w:rPr>
          <w:rFonts w:eastAsia="Calibri"/>
          <w:b/>
          <w:bCs/>
          <w:sz w:val="28"/>
          <w:szCs w:val="28"/>
          <w:lang w:val="en-IE" w:eastAsia="en-IE"/>
        </w:rPr>
        <w:t>General Election</w:t>
      </w:r>
      <w:r w:rsidR="0041336A">
        <w:rPr>
          <w:rFonts w:eastAsia="Calibri"/>
          <w:b/>
          <w:bCs/>
          <w:sz w:val="28"/>
          <w:szCs w:val="28"/>
          <w:lang w:val="en-IE" w:eastAsia="en-IE"/>
        </w:rPr>
        <w:t xml:space="preserve"> 2024</w:t>
      </w:r>
    </w:p>
    <w:p w14:paraId="2696B062" w14:textId="01E493FB" w:rsidR="0043709D" w:rsidRPr="00E7090F" w:rsidRDefault="006F3AEC" w:rsidP="006F3AEC">
      <w:pPr>
        <w:keepNext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en-IE" w:eastAsia="en-IE"/>
        </w:rPr>
      </w:pPr>
      <w:r>
        <w:rPr>
          <w:rFonts w:eastAsia="Calibri"/>
          <w:b/>
          <w:bCs/>
          <w:sz w:val="28"/>
          <w:szCs w:val="28"/>
          <w:lang w:val="en-IE" w:eastAsia="en-IE"/>
        </w:rPr>
        <w:t xml:space="preserve">Polling Day Friday </w:t>
      </w:r>
      <w:r w:rsidR="00BB1F5A">
        <w:rPr>
          <w:rFonts w:eastAsia="Calibri"/>
          <w:b/>
          <w:bCs/>
          <w:sz w:val="28"/>
          <w:szCs w:val="28"/>
          <w:lang w:val="en-IE" w:eastAsia="en-IE"/>
        </w:rPr>
        <w:t>29</w:t>
      </w:r>
      <w:r w:rsidR="00BB1F5A" w:rsidRPr="00BB1F5A">
        <w:rPr>
          <w:rFonts w:eastAsia="Calibri"/>
          <w:b/>
          <w:bCs/>
          <w:sz w:val="28"/>
          <w:szCs w:val="28"/>
          <w:vertAlign w:val="superscript"/>
          <w:lang w:val="en-IE" w:eastAsia="en-IE"/>
        </w:rPr>
        <w:t>th</w:t>
      </w:r>
      <w:r w:rsidR="00BB1F5A">
        <w:rPr>
          <w:rFonts w:eastAsia="Calibri"/>
          <w:b/>
          <w:bCs/>
          <w:sz w:val="28"/>
          <w:szCs w:val="28"/>
          <w:lang w:val="en-IE" w:eastAsia="en-IE"/>
        </w:rPr>
        <w:t xml:space="preserve"> November </w:t>
      </w:r>
      <w:r>
        <w:rPr>
          <w:rFonts w:eastAsia="Calibri"/>
          <w:b/>
          <w:bCs/>
          <w:sz w:val="28"/>
          <w:szCs w:val="28"/>
          <w:lang w:val="en-IE" w:eastAsia="en-IE"/>
        </w:rPr>
        <w:t>2024</w:t>
      </w:r>
    </w:p>
    <w:p w14:paraId="105520F0" w14:textId="77777777" w:rsidR="00317737" w:rsidRPr="0043709D" w:rsidRDefault="00317737" w:rsidP="00317737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jc w:val="both"/>
        <w:rPr>
          <w:sz w:val="20"/>
          <w:lang w:val="en-IE"/>
        </w:rPr>
      </w:pPr>
    </w:p>
    <w:p w14:paraId="42A574FD" w14:textId="77777777" w:rsidR="00317737" w:rsidRDefault="00317737" w:rsidP="00317737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jc w:val="both"/>
        <w:rPr>
          <w:sz w:val="20"/>
        </w:rPr>
      </w:pPr>
    </w:p>
    <w:p w14:paraId="19B21F34" w14:textId="0CE38AA8" w:rsidR="00317737" w:rsidRDefault="0043709D" w:rsidP="0043709D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ind w:left="1440" w:hanging="1440"/>
        <w:jc w:val="both"/>
        <w:rPr>
          <w:sz w:val="20"/>
        </w:rPr>
      </w:pPr>
      <w:r w:rsidRPr="0043709D">
        <w:rPr>
          <w:b/>
          <w:bCs/>
          <w:sz w:val="20"/>
        </w:rPr>
        <w:t>I HEREBY GIVE YOU NOTICE THAT</w:t>
      </w:r>
      <w:r>
        <w:rPr>
          <w:sz w:val="20"/>
        </w:rPr>
        <w:t>:</w:t>
      </w:r>
    </w:p>
    <w:p w14:paraId="4AC1A789" w14:textId="77777777" w:rsidR="00317737" w:rsidRDefault="00317737" w:rsidP="0043709D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ind w:left="1440" w:hanging="1440"/>
        <w:jc w:val="both"/>
        <w:rPr>
          <w:sz w:val="20"/>
        </w:rPr>
      </w:pPr>
    </w:p>
    <w:p w14:paraId="2AF2FFA8" w14:textId="495D4A03" w:rsidR="0075371E" w:rsidRDefault="0043709D" w:rsidP="0043709D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 w:rsidRPr="0043709D">
        <w:rPr>
          <w:sz w:val="20"/>
        </w:rPr>
        <w:t>The</w:t>
      </w:r>
      <w:r w:rsidR="0075371E" w:rsidRPr="0043709D">
        <w:rPr>
          <w:sz w:val="20"/>
        </w:rPr>
        <w:t xml:space="preserve"> latest date for </w:t>
      </w:r>
      <w:r w:rsidRPr="0043709D">
        <w:rPr>
          <w:sz w:val="20"/>
        </w:rPr>
        <w:t xml:space="preserve">the receipt of </w:t>
      </w:r>
      <w:proofErr w:type="gramStart"/>
      <w:r w:rsidR="0075371E" w:rsidRPr="0043709D">
        <w:rPr>
          <w:sz w:val="20"/>
        </w:rPr>
        <w:t>Appeals</w:t>
      </w:r>
      <w:proofErr w:type="gramEnd"/>
      <w:r w:rsidR="0075371E" w:rsidRPr="0043709D">
        <w:rPr>
          <w:sz w:val="20"/>
        </w:rPr>
        <w:t xml:space="preserve"> in respect of the Register of Electors of the County of </w:t>
      </w:r>
      <w:r w:rsidR="00EB143B">
        <w:rPr>
          <w:sz w:val="20"/>
        </w:rPr>
        <w:t>Wexford</w:t>
      </w:r>
      <w:r w:rsidR="0075371E" w:rsidRPr="0043709D">
        <w:rPr>
          <w:sz w:val="20"/>
        </w:rPr>
        <w:t xml:space="preserve"> in advance of the </w:t>
      </w:r>
      <w:r w:rsidR="002270C0">
        <w:rPr>
          <w:sz w:val="20"/>
        </w:rPr>
        <w:t>General Election</w:t>
      </w:r>
      <w:r w:rsidR="0075371E" w:rsidRPr="0043709D">
        <w:rPr>
          <w:sz w:val="20"/>
        </w:rPr>
        <w:t xml:space="preserve"> </w:t>
      </w:r>
      <w:r>
        <w:rPr>
          <w:sz w:val="20"/>
        </w:rPr>
        <w:t xml:space="preserve">shall be </w:t>
      </w:r>
      <w:r w:rsidR="00836B06">
        <w:rPr>
          <w:b/>
          <w:bCs/>
          <w:sz w:val="20"/>
        </w:rPr>
        <w:t>Friday 15</w:t>
      </w:r>
      <w:r w:rsidR="00836B06" w:rsidRPr="00836B06">
        <w:rPr>
          <w:b/>
          <w:bCs/>
          <w:sz w:val="20"/>
          <w:vertAlign w:val="superscript"/>
        </w:rPr>
        <w:t>th</w:t>
      </w:r>
      <w:r w:rsidR="00836B06">
        <w:rPr>
          <w:b/>
          <w:bCs/>
          <w:sz w:val="20"/>
        </w:rPr>
        <w:t xml:space="preserve"> November</w:t>
      </w:r>
      <w:r w:rsidRPr="0043709D">
        <w:rPr>
          <w:b/>
          <w:bCs/>
          <w:sz w:val="20"/>
        </w:rPr>
        <w:t xml:space="preserve"> 2024</w:t>
      </w:r>
      <w:r>
        <w:rPr>
          <w:sz w:val="20"/>
        </w:rPr>
        <w:t>.</w:t>
      </w:r>
      <w:r w:rsidR="0075371E" w:rsidRPr="0043709D">
        <w:rPr>
          <w:sz w:val="20"/>
        </w:rPr>
        <w:t xml:space="preserve"> </w:t>
      </w:r>
    </w:p>
    <w:p w14:paraId="28CD21F0" w14:textId="631DA97C" w:rsidR="0043709D" w:rsidRDefault="0043709D" w:rsidP="0043709D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All such Appeals will be heard by the County Registrar of </w:t>
      </w:r>
      <w:r w:rsidR="00EB143B">
        <w:rPr>
          <w:sz w:val="20"/>
        </w:rPr>
        <w:t>Wexford</w:t>
      </w:r>
      <w:r>
        <w:rPr>
          <w:sz w:val="20"/>
        </w:rPr>
        <w:t xml:space="preserve"> Circuit Court, sitting at the Courthouse, </w:t>
      </w:r>
      <w:r w:rsidR="00EB143B">
        <w:rPr>
          <w:sz w:val="20"/>
        </w:rPr>
        <w:t xml:space="preserve">Belvedere Road, </w:t>
      </w:r>
      <w:proofErr w:type="spellStart"/>
      <w:r w:rsidR="00EB143B">
        <w:rPr>
          <w:sz w:val="20"/>
        </w:rPr>
        <w:t>Townparks</w:t>
      </w:r>
      <w:proofErr w:type="spellEnd"/>
      <w:r w:rsidR="00EB143B">
        <w:rPr>
          <w:sz w:val="20"/>
        </w:rPr>
        <w:t>, Wexford</w:t>
      </w:r>
      <w:r>
        <w:rPr>
          <w:sz w:val="20"/>
        </w:rPr>
        <w:t>, and should be directed by post or personal delivery to that address.</w:t>
      </w:r>
    </w:p>
    <w:p w14:paraId="2EEEC9D9" w14:textId="1D5223D6" w:rsidR="0043709D" w:rsidRDefault="0043709D" w:rsidP="0043709D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Any Appeals received after the final date shall not be considered by the County Registrar until after Polling Day for </w:t>
      </w:r>
      <w:r w:rsidR="008027AE">
        <w:rPr>
          <w:sz w:val="20"/>
        </w:rPr>
        <w:t xml:space="preserve">the </w:t>
      </w:r>
      <w:r>
        <w:rPr>
          <w:sz w:val="20"/>
        </w:rPr>
        <w:t xml:space="preserve">above </w:t>
      </w:r>
      <w:r w:rsidR="006F3AEC">
        <w:rPr>
          <w:sz w:val="20"/>
        </w:rPr>
        <w:t>election</w:t>
      </w:r>
      <w:r>
        <w:rPr>
          <w:sz w:val="20"/>
        </w:rPr>
        <w:t>s.</w:t>
      </w:r>
    </w:p>
    <w:p w14:paraId="07130A5D" w14:textId="77777777" w:rsidR="0043709D" w:rsidRDefault="0043709D" w:rsidP="0043709D">
      <w:pPr>
        <w:spacing w:line="360" w:lineRule="auto"/>
        <w:rPr>
          <w:sz w:val="20"/>
        </w:rPr>
      </w:pPr>
    </w:p>
    <w:p w14:paraId="3D094242" w14:textId="05EF00CE" w:rsidR="0043709D" w:rsidRDefault="0043709D" w:rsidP="0043709D">
      <w:pPr>
        <w:spacing w:line="360" w:lineRule="auto"/>
        <w:rPr>
          <w:sz w:val="20"/>
        </w:rPr>
      </w:pPr>
      <w:r>
        <w:rPr>
          <w:sz w:val="20"/>
        </w:rPr>
        <w:t xml:space="preserve">Dated this </w:t>
      </w:r>
      <w:r w:rsidR="00F730ED">
        <w:rPr>
          <w:sz w:val="20"/>
        </w:rPr>
        <w:t>11</w:t>
      </w:r>
      <w:r w:rsidR="00F730ED" w:rsidRPr="00F730ED">
        <w:rPr>
          <w:sz w:val="20"/>
          <w:vertAlign w:val="superscript"/>
        </w:rPr>
        <w:t>th</w:t>
      </w:r>
      <w:r w:rsidR="00F730ED">
        <w:rPr>
          <w:sz w:val="20"/>
        </w:rPr>
        <w:t xml:space="preserve"> day of November 2024</w:t>
      </w:r>
      <w:r>
        <w:rPr>
          <w:sz w:val="20"/>
        </w:rPr>
        <w:t>.</w:t>
      </w:r>
    </w:p>
    <w:p w14:paraId="16D8388C" w14:textId="77777777" w:rsidR="0043709D" w:rsidRDefault="0043709D" w:rsidP="0043709D">
      <w:pPr>
        <w:spacing w:line="360" w:lineRule="auto"/>
        <w:rPr>
          <w:sz w:val="20"/>
        </w:rPr>
      </w:pPr>
    </w:p>
    <w:p w14:paraId="35310345" w14:textId="6395B30D" w:rsidR="0043709D" w:rsidRDefault="0043709D" w:rsidP="0043709D">
      <w:pPr>
        <w:spacing w:line="360" w:lineRule="auto"/>
        <w:rPr>
          <w:sz w:val="20"/>
        </w:rPr>
      </w:pPr>
      <w:proofErr w:type="gramStart"/>
      <w:r>
        <w:rPr>
          <w:sz w:val="20"/>
        </w:rPr>
        <w:t>Signed :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>Deirdre Burke</w:t>
      </w:r>
    </w:p>
    <w:p w14:paraId="1F5452E0" w14:textId="6C99EE2F" w:rsidR="0043709D" w:rsidRDefault="0043709D" w:rsidP="0043709D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County Registrar</w:t>
      </w:r>
    </w:p>
    <w:p w14:paraId="66A788A3" w14:textId="66E48A2F" w:rsidR="0043709D" w:rsidRPr="0043709D" w:rsidRDefault="0043709D" w:rsidP="0043709D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B143B">
        <w:rPr>
          <w:sz w:val="20"/>
        </w:rPr>
        <w:t>Wexford</w:t>
      </w:r>
      <w:r>
        <w:rPr>
          <w:sz w:val="20"/>
        </w:rPr>
        <w:t xml:space="preserve"> Circuit Court</w:t>
      </w:r>
    </w:p>
    <w:p w14:paraId="7AB95B28" w14:textId="77777777" w:rsidR="0075371E" w:rsidRDefault="0075371E" w:rsidP="0043709D">
      <w:pPr>
        <w:spacing w:line="360" w:lineRule="auto"/>
        <w:rPr>
          <w:sz w:val="20"/>
        </w:rPr>
      </w:pPr>
    </w:p>
    <w:p w14:paraId="44D0CEEE" w14:textId="77777777" w:rsidR="0043709D" w:rsidRDefault="0043709D" w:rsidP="0043709D">
      <w:pPr>
        <w:spacing w:line="360" w:lineRule="auto"/>
        <w:rPr>
          <w:sz w:val="20"/>
        </w:rPr>
      </w:pPr>
    </w:p>
    <w:p w14:paraId="0C041293" w14:textId="5EB4B0C2" w:rsidR="0043709D" w:rsidRDefault="00ED43F7" w:rsidP="0043709D">
      <w:pPr>
        <w:spacing w:line="360" w:lineRule="auto"/>
        <w:rPr>
          <w:sz w:val="20"/>
        </w:rPr>
      </w:pPr>
      <w:r>
        <w:rPr>
          <w:sz w:val="20"/>
        </w:rPr>
        <w:t>Electoral Act 1992:</w:t>
      </w:r>
      <w:r w:rsidR="0043709D">
        <w:rPr>
          <w:sz w:val="20"/>
        </w:rPr>
        <w:t xml:space="preserve"> </w:t>
      </w:r>
      <w:r w:rsidR="0075371E">
        <w:rPr>
          <w:sz w:val="20"/>
        </w:rPr>
        <w:t xml:space="preserve">Schedule 2, Rule 39 </w:t>
      </w:r>
    </w:p>
    <w:p w14:paraId="0274437B" w14:textId="3BBC4705" w:rsidR="00492DF5" w:rsidRPr="00317737" w:rsidRDefault="0075371E" w:rsidP="0043709D">
      <w:pPr>
        <w:spacing w:line="360" w:lineRule="auto"/>
        <w:rPr>
          <w:rFonts w:cs="Arial"/>
          <w:szCs w:val="24"/>
        </w:rPr>
      </w:pPr>
      <w:r>
        <w:rPr>
          <w:sz w:val="20"/>
        </w:rPr>
        <w:t>(</w:t>
      </w:r>
      <w:r w:rsidR="00217762">
        <w:rPr>
          <w:sz w:val="20"/>
        </w:rPr>
        <w:t>Inserted</w:t>
      </w:r>
      <w:r>
        <w:rPr>
          <w:sz w:val="20"/>
        </w:rPr>
        <w:t xml:space="preserve"> by Section 106 (j) Electoral Reform Act 2022)</w:t>
      </w:r>
    </w:p>
    <w:sectPr w:rsidR="00492DF5" w:rsidRPr="00317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B786A"/>
    <w:multiLevelType w:val="hybridMultilevel"/>
    <w:tmpl w:val="4C302D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2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37"/>
    <w:rsid w:val="00003D64"/>
    <w:rsid w:val="00043FDD"/>
    <w:rsid w:val="00217762"/>
    <w:rsid w:val="002270C0"/>
    <w:rsid w:val="002762FE"/>
    <w:rsid w:val="00297FB9"/>
    <w:rsid w:val="00317737"/>
    <w:rsid w:val="0041336A"/>
    <w:rsid w:val="0043709D"/>
    <w:rsid w:val="00492DF5"/>
    <w:rsid w:val="006F3AEC"/>
    <w:rsid w:val="0075371E"/>
    <w:rsid w:val="008027AE"/>
    <w:rsid w:val="00836B06"/>
    <w:rsid w:val="00914DED"/>
    <w:rsid w:val="009A577C"/>
    <w:rsid w:val="00BB1F5A"/>
    <w:rsid w:val="00EB143B"/>
    <w:rsid w:val="00ED43F7"/>
    <w:rsid w:val="00F730E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118"/>
  <w15:chartTrackingRefBased/>
  <w15:docId w15:val="{395B4551-5AD5-4151-BB96-2D37BB4E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3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77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Burke</dc:creator>
  <cp:keywords/>
  <dc:description/>
  <cp:lastModifiedBy>Adrienne Larkin</cp:lastModifiedBy>
  <cp:revision>2</cp:revision>
  <dcterms:created xsi:type="dcterms:W3CDTF">2024-11-11T13:06:00Z</dcterms:created>
  <dcterms:modified xsi:type="dcterms:W3CDTF">2024-11-11T13:06:00Z</dcterms:modified>
</cp:coreProperties>
</file>