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FD6" w14:textId="77777777" w:rsidR="00DD12EA" w:rsidRPr="00B8488B" w:rsidRDefault="00DD12EA" w:rsidP="00DD12EA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0CEA9FAB" w14:textId="77777777" w:rsidR="00DD12EA" w:rsidRPr="00B8488B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FFC1E51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2623CFEF" w14:textId="77777777" w:rsidR="00DD12EA" w:rsidRPr="00866A08" w:rsidRDefault="00DD12EA" w:rsidP="00DD12E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ECDABE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</w:rPr>
        <w:t>TEMPORARY CLOSING OF ROADS</w:t>
      </w:r>
    </w:p>
    <w:p w14:paraId="0790797A" w14:textId="77777777" w:rsidR="00DD12EA" w:rsidRPr="008C446C" w:rsidRDefault="00DD12EA" w:rsidP="00DD12E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90F79D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70782803" w14:textId="33D470E9" w:rsidR="001F0542" w:rsidRDefault="00DD12EA" w:rsidP="00DD12EA">
      <w:pPr>
        <w:rPr>
          <w:rFonts w:ascii="Arial" w:hAnsi="Arial" w:cs="Arial"/>
          <w:sz w:val="24"/>
          <w:szCs w:val="24"/>
        </w:rPr>
      </w:pPr>
      <w:r w:rsidRPr="008C446C">
        <w:rPr>
          <w:rFonts w:ascii="Arial" w:hAnsi="Arial" w:cs="Arial"/>
          <w:sz w:val="24"/>
          <w:szCs w:val="24"/>
        </w:rPr>
        <w:t xml:space="preserve">Notice is hereby given that Wexford County Council </w:t>
      </w:r>
      <w:r w:rsidR="00C0746B">
        <w:rPr>
          <w:rFonts w:ascii="Arial" w:hAnsi="Arial" w:cs="Arial"/>
          <w:sz w:val="24"/>
          <w:szCs w:val="24"/>
        </w:rPr>
        <w:t xml:space="preserve">has decided </w:t>
      </w:r>
      <w:r w:rsidRPr="008C446C">
        <w:rPr>
          <w:rFonts w:ascii="Arial" w:hAnsi="Arial" w:cs="Arial"/>
          <w:sz w:val="24"/>
          <w:szCs w:val="24"/>
        </w:rPr>
        <w:t>to</w:t>
      </w:r>
      <w:r w:rsidR="006A31E3">
        <w:rPr>
          <w:rFonts w:ascii="Arial" w:hAnsi="Arial" w:cs="Arial"/>
          <w:sz w:val="24"/>
          <w:szCs w:val="24"/>
        </w:rPr>
        <w:t xml:space="preserve"> extend the</w:t>
      </w:r>
      <w:r w:rsidRPr="008C446C">
        <w:rPr>
          <w:rFonts w:ascii="Arial" w:hAnsi="Arial" w:cs="Arial"/>
          <w:sz w:val="24"/>
          <w:szCs w:val="24"/>
        </w:rPr>
        <w:t xml:space="preserve"> clos</w:t>
      </w:r>
      <w:r w:rsidR="006A31E3">
        <w:rPr>
          <w:rFonts w:ascii="Arial" w:hAnsi="Arial" w:cs="Arial"/>
          <w:sz w:val="24"/>
          <w:szCs w:val="24"/>
        </w:rPr>
        <w:t>ure of</w:t>
      </w:r>
      <w:r w:rsidRPr="008C446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public </w:t>
      </w:r>
      <w:r w:rsidRPr="008C446C">
        <w:rPr>
          <w:rFonts w:ascii="Arial" w:hAnsi="Arial" w:cs="Arial"/>
          <w:sz w:val="24"/>
          <w:szCs w:val="24"/>
        </w:rPr>
        <w:t>road</w:t>
      </w:r>
      <w:r w:rsidR="00AB0DD9">
        <w:rPr>
          <w:rFonts w:ascii="Arial" w:hAnsi="Arial" w:cs="Arial"/>
          <w:sz w:val="24"/>
          <w:szCs w:val="24"/>
        </w:rPr>
        <w:t xml:space="preserve"> </w:t>
      </w:r>
      <w:r w:rsidR="00451BE8">
        <w:rPr>
          <w:rFonts w:ascii="Arial" w:hAnsi="Arial" w:cs="Arial"/>
          <w:sz w:val="24"/>
          <w:szCs w:val="24"/>
        </w:rPr>
        <w:t>listed hereunder to vehicular traffic</w:t>
      </w:r>
      <w:r w:rsidR="00AB0DD9">
        <w:rPr>
          <w:rFonts w:ascii="Arial" w:hAnsi="Arial" w:cs="Arial"/>
          <w:sz w:val="24"/>
          <w:szCs w:val="24"/>
        </w:rPr>
        <w:t xml:space="preserve">, </w:t>
      </w:r>
      <w:r w:rsidR="00FF4D77">
        <w:rPr>
          <w:rFonts w:ascii="Arial" w:hAnsi="Arial" w:cs="Arial"/>
          <w:sz w:val="24"/>
          <w:szCs w:val="24"/>
        </w:rPr>
        <w:t xml:space="preserve">for the </w:t>
      </w:r>
      <w:r w:rsidR="00AB0DD9">
        <w:rPr>
          <w:rFonts w:ascii="Arial" w:hAnsi="Arial" w:cs="Arial"/>
          <w:sz w:val="24"/>
          <w:szCs w:val="24"/>
        </w:rPr>
        <w:t xml:space="preserve">period and </w:t>
      </w:r>
      <w:r w:rsidR="00FF4D77">
        <w:rPr>
          <w:rFonts w:ascii="Arial" w:hAnsi="Arial" w:cs="Arial"/>
          <w:sz w:val="24"/>
          <w:szCs w:val="24"/>
        </w:rPr>
        <w:t xml:space="preserve">times stated, </w:t>
      </w:r>
      <w:r w:rsidR="00AB0DD9">
        <w:rPr>
          <w:rFonts w:ascii="Arial" w:hAnsi="Arial" w:cs="Arial"/>
          <w:sz w:val="24"/>
          <w:szCs w:val="24"/>
        </w:rPr>
        <w:t>to facilitate outdoor dining and hospitality.</w:t>
      </w:r>
    </w:p>
    <w:p w14:paraId="4CA3DD18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F884EAA" w14:textId="77A812B1" w:rsidR="00B64A93" w:rsidRDefault="00451BE8" w:rsidP="00DD12EA">
      <w:pPr>
        <w:rPr>
          <w:rFonts w:ascii="Arial" w:hAnsi="Arial" w:cs="Arial"/>
          <w:sz w:val="24"/>
          <w:szCs w:val="24"/>
        </w:rPr>
      </w:pPr>
      <w:bookmarkStart w:id="0" w:name="_Hlk94711032"/>
      <w:r w:rsidRPr="00451BE8">
        <w:rPr>
          <w:rFonts w:ascii="Arial" w:hAnsi="Arial" w:cs="Arial"/>
          <w:b/>
          <w:bCs/>
          <w:sz w:val="24"/>
          <w:szCs w:val="24"/>
          <w:u w:val="single"/>
        </w:rPr>
        <w:t>Road Closure:</w:t>
      </w:r>
      <w:r>
        <w:rPr>
          <w:rFonts w:ascii="Arial" w:hAnsi="Arial" w:cs="Arial"/>
          <w:sz w:val="24"/>
          <w:szCs w:val="24"/>
        </w:rPr>
        <w:t xml:space="preserve">  L</w:t>
      </w:r>
      <w:r w:rsidR="005F47AD">
        <w:rPr>
          <w:rFonts w:ascii="Arial" w:hAnsi="Arial" w:cs="Arial"/>
          <w:sz w:val="24"/>
          <w:szCs w:val="24"/>
        </w:rPr>
        <w:t>-7533-1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0DDA">
        <w:rPr>
          <w:rFonts w:ascii="Arial" w:hAnsi="Arial" w:cs="Arial"/>
          <w:sz w:val="24"/>
          <w:szCs w:val="24"/>
        </w:rPr>
        <w:t>Mallin</w:t>
      </w:r>
      <w:proofErr w:type="spellEnd"/>
      <w:r>
        <w:rPr>
          <w:rFonts w:ascii="Arial" w:hAnsi="Arial" w:cs="Arial"/>
          <w:sz w:val="24"/>
          <w:szCs w:val="24"/>
        </w:rPr>
        <w:t xml:space="preserve"> Street, </w:t>
      </w:r>
      <w:r w:rsidRPr="00451BE8">
        <w:rPr>
          <w:rFonts w:ascii="Arial" w:hAnsi="Arial" w:cs="Arial"/>
          <w:sz w:val="24"/>
          <w:szCs w:val="24"/>
        </w:rPr>
        <w:t xml:space="preserve">Wexford </w:t>
      </w:r>
      <w:r w:rsidR="00B64A93">
        <w:rPr>
          <w:rFonts w:ascii="Arial" w:hAnsi="Arial" w:cs="Arial"/>
          <w:sz w:val="24"/>
          <w:szCs w:val="24"/>
        </w:rPr>
        <w:t xml:space="preserve">from its junction with Cornmarket/  </w:t>
      </w:r>
    </w:p>
    <w:p w14:paraId="6E3787D2" w14:textId="5C41AD3E" w:rsidR="00DD12EA" w:rsidRDefault="00B64A93" w:rsidP="00DD12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John’s Gate Street to its junction with Rowe Street</w:t>
      </w:r>
    </w:p>
    <w:p w14:paraId="64EBC759" w14:textId="77777777" w:rsidR="00451BE8" w:rsidRPr="008C446C" w:rsidRDefault="00451BE8" w:rsidP="00DD12EA">
      <w:pPr>
        <w:rPr>
          <w:rFonts w:ascii="Arial" w:hAnsi="Arial" w:cs="Arial"/>
          <w:sz w:val="24"/>
          <w:szCs w:val="24"/>
        </w:rPr>
      </w:pPr>
    </w:p>
    <w:p w14:paraId="5A3DB21D" w14:textId="7CB8733A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Period: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>31</w:t>
      </w:r>
      <w:r w:rsidRPr="00AB0DD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December 2022</w:t>
      </w:r>
      <w:r w:rsidR="006A31E3">
        <w:rPr>
          <w:rFonts w:ascii="Arial" w:hAnsi="Arial" w:cs="Arial"/>
          <w:bCs/>
          <w:sz w:val="24"/>
          <w:szCs w:val="24"/>
        </w:rPr>
        <w:t xml:space="preserve"> to 31</w:t>
      </w:r>
      <w:r w:rsidR="006A31E3" w:rsidRPr="006A31E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6A31E3">
        <w:rPr>
          <w:rFonts w:ascii="Arial" w:hAnsi="Arial" w:cs="Arial"/>
          <w:bCs/>
          <w:sz w:val="24"/>
          <w:szCs w:val="24"/>
        </w:rPr>
        <w:t xml:space="preserve"> December 2023</w:t>
      </w:r>
    </w:p>
    <w:p w14:paraId="4B0AF090" w14:textId="7DBB983B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p w14:paraId="0158F083" w14:textId="4E6636B1" w:rsidR="00AB0DD9" w:rsidRDefault="00AB0DD9" w:rsidP="00F90DDA">
      <w:pPr>
        <w:ind w:left="1440" w:hanging="1440"/>
        <w:rPr>
          <w:rFonts w:ascii="Arial" w:hAnsi="Arial" w:cs="Arial"/>
          <w:bCs/>
          <w:sz w:val="24"/>
          <w:szCs w:val="24"/>
        </w:rPr>
      </w:pPr>
      <w:r w:rsidRPr="00AB0DD9">
        <w:rPr>
          <w:rFonts w:ascii="Arial" w:hAnsi="Arial" w:cs="Arial"/>
          <w:b/>
          <w:sz w:val="24"/>
          <w:szCs w:val="24"/>
          <w:u w:val="single"/>
        </w:rPr>
        <w:t>Times:</w:t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451BE8">
        <w:rPr>
          <w:rFonts w:ascii="Arial" w:hAnsi="Arial" w:cs="Arial"/>
          <w:bCs/>
          <w:sz w:val="24"/>
          <w:szCs w:val="24"/>
        </w:rPr>
        <w:t xml:space="preserve">         </w:t>
      </w:r>
      <w:r w:rsidR="006C6B02">
        <w:rPr>
          <w:rFonts w:ascii="Arial" w:hAnsi="Arial" w:cs="Arial"/>
          <w:bCs/>
          <w:sz w:val="24"/>
          <w:szCs w:val="24"/>
        </w:rPr>
        <w:t xml:space="preserve"> </w:t>
      </w:r>
      <w:r w:rsidR="00F90DDA">
        <w:rPr>
          <w:rFonts w:ascii="Arial" w:hAnsi="Arial" w:cs="Arial"/>
          <w:bCs/>
          <w:sz w:val="24"/>
          <w:szCs w:val="24"/>
        </w:rPr>
        <w:t>Daily from 11.00 hours to 18.00 hours</w:t>
      </w:r>
    </w:p>
    <w:p w14:paraId="365E557B" w14:textId="77777777" w:rsidR="00AB0DD9" w:rsidRDefault="00AB0DD9" w:rsidP="00DD12EA">
      <w:pPr>
        <w:ind w:left="1440" w:hanging="1440"/>
        <w:rPr>
          <w:rFonts w:ascii="Arial" w:hAnsi="Arial" w:cs="Arial"/>
          <w:bCs/>
          <w:sz w:val="24"/>
          <w:szCs w:val="24"/>
        </w:rPr>
      </w:pPr>
    </w:p>
    <w:bookmarkEnd w:id="0"/>
    <w:p w14:paraId="62966E36" w14:textId="41B926B5" w:rsidR="00DD12EA" w:rsidRPr="008C446C" w:rsidRDefault="00DD12EA" w:rsidP="00DD12EA">
      <w:pPr>
        <w:rPr>
          <w:rFonts w:ascii="Arial" w:hAnsi="Arial" w:cs="Arial"/>
          <w:b/>
          <w:bCs/>
          <w:sz w:val="24"/>
          <w:szCs w:val="24"/>
        </w:rPr>
      </w:pPr>
      <w:r w:rsidRPr="008C446C">
        <w:rPr>
          <w:rFonts w:ascii="Arial" w:hAnsi="Arial" w:cs="Arial"/>
          <w:b/>
          <w:bCs/>
          <w:sz w:val="24"/>
          <w:szCs w:val="24"/>
          <w:u w:val="single"/>
        </w:rPr>
        <w:t>Alternative Route</w:t>
      </w:r>
    </w:p>
    <w:p w14:paraId="400F07C0" w14:textId="77777777" w:rsidR="00DD12EA" w:rsidRPr="008C446C" w:rsidRDefault="00DD12EA" w:rsidP="00DD12EA">
      <w:pPr>
        <w:rPr>
          <w:rFonts w:ascii="Arial" w:hAnsi="Arial" w:cs="Arial"/>
          <w:sz w:val="24"/>
          <w:szCs w:val="24"/>
        </w:rPr>
      </w:pPr>
    </w:p>
    <w:p w14:paraId="6F9F2C01" w14:textId="77777777" w:rsidR="00F90DDA" w:rsidRDefault="00DD12E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 w:rsidRPr="008C446C">
        <w:rPr>
          <w:rFonts w:ascii="Arial" w:hAnsi="Arial" w:cs="Arial"/>
          <w:bCs/>
          <w:sz w:val="24"/>
          <w:szCs w:val="24"/>
        </w:rPr>
        <w:t>From</w:t>
      </w:r>
      <w:r w:rsidR="00002B5F">
        <w:rPr>
          <w:rFonts w:ascii="Arial" w:hAnsi="Arial" w:cs="Arial"/>
          <w:bCs/>
          <w:sz w:val="24"/>
          <w:szCs w:val="24"/>
        </w:rPr>
        <w:t xml:space="preserve"> </w:t>
      </w:r>
      <w:r w:rsidR="00F90DDA">
        <w:rPr>
          <w:rFonts w:ascii="Arial" w:hAnsi="Arial" w:cs="Arial"/>
          <w:bCs/>
          <w:sz w:val="24"/>
          <w:szCs w:val="24"/>
        </w:rPr>
        <w:t xml:space="preserve">Cornmarket / Abbey Street – via John’s Gate Street, Lower John Street, </w:t>
      </w:r>
    </w:p>
    <w:p w14:paraId="1DB048E9" w14:textId="4868244A" w:rsidR="00F90DDA" w:rsidRDefault="00F90DDA" w:rsidP="00F90DD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Upper Rowe Street.</w:t>
      </w:r>
    </w:p>
    <w:p w14:paraId="0AD8F615" w14:textId="77777777" w:rsidR="00F90DDA" w:rsidRDefault="00F90DDA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4F2F556D" w14:textId="239B7542" w:rsidR="00AB0DD9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Local access will be facilitated as far as possible.</w:t>
      </w:r>
    </w:p>
    <w:p w14:paraId="1DEE2C63" w14:textId="77777777" w:rsidR="00451BE8" w:rsidRDefault="00451BE8" w:rsidP="00DD12EA">
      <w:pPr>
        <w:tabs>
          <w:tab w:val="left" w:pos="2410"/>
        </w:tabs>
        <w:ind w:left="2410" w:hanging="2410"/>
        <w:rPr>
          <w:rFonts w:ascii="Arial" w:hAnsi="Arial" w:cs="Arial"/>
          <w:bCs/>
          <w:sz w:val="24"/>
          <w:szCs w:val="24"/>
        </w:rPr>
      </w:pPr>
    </w:p>
    <w:p w14:paraId="7895BC1E" w14:textId="77777777" w:rsidR="00DD12EA" w:rsidRDefault="00DD12EA" w:rsidP="00DD12EA">
      <w:pPr>
        <w:rPr>
          <w:sz w:val="24"/>
          <w:szCs w:val="24"/>
        </w:rPr>
      </w:pPr>
    </w:p>
    <w:p w14:paraId="235ED19F" w14:textId="77777777" w:rsidR="001F0542" w:rsidRDefault="001F0542" w:rsidP="00DD12EA">
      <w:pPr>
        <w:rPr>
          <w:sz w:val="24"/>
          <w:szCs w:val="24"/>
        </w:rPr>
      </w:pPr>
    </w:p>
    <w:sectPr w:rsidR="001F0542" w:rsidSect="002D2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2EA"/>
    <w:rsid w:val="00002B5F"/>
    <w:rsid w:val="00030F5A"/>
    <w:rsid w:val="00145AE7"/>
    <w:rsid w:val="001A47FD"/>
    <w:rsid w:val="001E00DF"/>
    <w:rsid w:val="001F0542"/>
    <w:rsid w:val="002D292A"/>
    <w:rsid w:val="002D6463"/>
    <w:rsid w:val="003171D1"/>
    <w:rsid w:val="00451BE8"/>
    <w:rsid w:val="004D7E87"/>
    <w:rsid w:val="004F4AC6"/>
    <w:rsid w:val="005F47AD"/>
    <w:rsid w:val="006A31E3"/>
    <w:rsid w:val="006C6B02"/>
    <w:rsid w:val="007B0C05"/>
    <w:rsid w:val="00AB0DD9"/>
    <w:rsid w:val="00B64A93"/>
    <w:rsid w:val="00C0746B"/>
    <w:rsid w:val="00D348C3"/>
    <w:rsid w:val="00DD12EA"/>
    <w:rsid w:val="00E65AFF"/>
    <w:rsid w:val="00E91FC1"/>
    <w:rsid w:val="00F7426A"/>
    <w:rsid w:val="00F90DDA"/>
    <w:rsid w:val="00FC2CC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D109"/>
  <w15:docId w15:val="{F7D8E5B2-85E9-406F-BE3E-B6D584D5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12EA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2E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51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angiel</dc:creator>
  <cp:lastModifiedBy>Sian Gwyther</cp:lastModifiedBy>
  <cp:revision>2</cp:revision>
  <dcterms:created xsi:type="dcterms:W3CDTF">2022-12-13T09:45:00Z</dcterms:created>
  <dcterms:modified xsi:type="dcterms:W3CDTF">2022-12-13T09:45:00Z</dcterms:modified>
</cp:coreProperties>
</file>